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251" w:rsidRPr="00F35251" w:rsidRDefault="00F35251" w:rsidP="00F35251">
      <w:pPr>
        <w:jc w:val="both"/>
        <w:rPr>
          <w:lang w:val="ru-RU"/>
        </w:rPr>
      </w:pPr>
      <w:r w:rsidRPr="00F35251">
        <w:rPr>
          <w:lang w:val="ru-RU"/>
        </w:rPr>
        <w:t xml:space="preserve">Анна </w:t>
      </w:r>
      <w:proofErr w:type="spellStart"/>
      <w:r w:rsidRPr="00F35251">
        <w:rPr>
          <w:lang w:val="ru-RU"/>
        </w:rPr>
        <w:t>Вежбицкая</w:t>
      </w:r>
      <w:proofErr w:type="spellEnd"/>
    </w:p>
    <w:p w:rsidR="00F35251" w:rsidRPr="00F35251" w:rsidRDefault="00F35251" w:rsidP="00F35251">
      <w:pPr>
        <w:jc w:val="both"/>
        <w:rPr>
          <w:lang w:val="ru-RU"/>
        </w:rPr>
      </w:pPr>
    </w:p>
    <w:p w:rsidR="00F35251" w:rsidRPr="00F35251" w:rsidRDefault="00F35251" w:rsidP="00F35251">
      <w:pPr>
        <w:jc w:val="both"/>
        <w:rPr>
          <w:lang w:val="ru-RU"/>
        </w:rPr>
      </w:pPr>
      <w:r w:rsidRPr="00F35251">
        <w:rPr>
          <w:lang w:val="ru-RU"/>
        </w:rPr>
        <w:t xml:space="preserve">        Из книги "Понимание культур через посредство ключевых слов".</w:t>
      </w:r>
    </w:p>
    <w:p w:rsidR="00F35251" w:rsidRDefault="00F35251" w:rsidP="00F35251">
      <w:pPr>
        <w:jc w:val="both"/>
        <w:rPr>
          <w:lang w:val="ru-RU"/>
        </w:rPr>
      </w:pPr>
    </w:p>
    <w:p w:rsidR="004D48C6" w:rsidRDefault="00F35251" w:rsidP="00F35251">
      <w:pPr>
        <w:jc w:val="both"/>
      </w:pPr>
      <w:r w:rsidRPr="00F35251">
        <w:rPr>
          <w:lang w:val="ru-RU"/>
        </w:rPr>
        <w:t xml:space="preserve">Людям, хорошо знающим два разных языка и две разные культуры (или более), обычно очевидно, что язык и образ мышления взаимосвязаны (ср. </w:t>
      </w:r>
      <w:r>
        <w:t>Hunt</w:t>
      </w:r>
      <w:r w:rsidRPr="00F35251">
        <w:rPr>
          <w:lang w:val="ru-RU"/>
        </w:rPr>
        <w:t xml:space="preserve"> &amp; </w:t>
      </w:r>
      <w:proofErr w:type="spellStart"/>
      <w:r>
        <w:t>Benaji</w:t>
      </w:r>
      <w:proofErr w:type="spellEnd"/>
      <w:r w:rsidRPr="00F35251">
        <w:rPr>
          <w:lang w:val="ru-RU"/>
        </w:rPr>
        <w:t xml:space="preserve"> 1988). Подвергать сомнению наличие такой связи на основе мнимого отсутствия доказательств — значит не понимать, какова природа доказательств, которые могли бы быть уместны в данном контексте. Тот факт, что ни наука о мозге, ни информатика не могут ничего сказать нам о связях между тем, как мы говорим, и тем, как мы мыслим, и о различиях в образе мышления, связанных с различиями языков и культур, едва ли доказывает, что таких связей вовсе нет. Тем не менее среди одноязычных людей, равно как и среди некоторых специалистов по когнитивной науке распространено категорическое отрицание существования такого рода связей и различий.</w:t>
      </w:r>
      <w:r>
        <w:rPr>
          <w:lang w:val="ru-RU"/>
        </w:rPr>
        <w:t xml:space="preserve"> </w:t>
      </w:r>
      <w:r w:rsidRPr="00F35251">
        <w:rPr>
          <w:lang w:val="ru-RU"/>
        </w:rPr>
        <w:t xml:space="preserve">Один из примеров такого отрицания, особенно обращающий на себя внимание, дает нам недавно вышедший лингвистический бестселлер, написанный психологом из Массачусетского технологического института Стивеном </w:t>
      </w:r>
      <w:proofErr w:type="spellStart"/>
      <w:r w:rsidRPr="00F35251">
        <w:rPr>
          <w:lang w:val="ru-RU"/>
        </w:rPr>
        <w:t>Пинкером</w:t>
      </w:r>
      <w:proofErr w:type="spellEnd"/>
      <w:r w:rsidRPr="00F35251">
        <w:rPr>
          <w:lang w:val="ru-RU"/>
        </w:rPr>
        <w:t>, чья книга “Языковой инстинкт” (</w:t>
      </w:r>
      <w:r>
        <w:t>Pinker</w:t>
      </w:r>
      <w:r w:rsidRPr="00F35251">
        <w:rPr>
          <w:lang w:val="ru-RU"/>
        </w:rPr>
        <w:t xml:space="preserve"> 1994) превозносится на суперобложке как “великолепная”, “ослепительная” и “блестящая”, а </w:t>
      </w:r>
      <w:proofErr w:type="spellStart"/>
      <w:r w:rsidRPr="00F35251">
        <w:rPr>
          <w:lang w:val="ru-RU"/>
        </w:rPr>
        <w:t>Ноам</w:t>
      </w:r>
      <w:proofErr w:type="spellEnd"/>
      <w:r w:rsidRPr="00F35251">
        <w:rPr>
          <w:lang w:val="ru-RU"/>
        </w:rPr>
        <w:t xml:space="preserve"> Хомский восхваляет ее (на суперобложке) как “чрезвычайно ценную книгу, весьма информативную и очень хорошо написанную”. </w:t>
      </w:r>
      <w:proofErr w:type="spellStart"/>
      <w:r w:rsidRPr="00F35251">
        <w:rPr>
          <w:lang w:val="ru-RU"/>
        </w:rPr>
        <w:t>Пинкер</w:t>
      </w:r>
      <w:proofErr w:type="spellEnd"/>
      <w:r w:rsidRPr="00F35251">
        <w:rPr>
          <w:lang w:val="ru-RU"/>
        </w:rPr>
        <w:t xml:space="preserve"> (</w:t>
      </w:r>
      <w:r>
        <w:t>Pinker</w:t>
      </w:r>
      <w:r w:rsidRPr="00F35251">
        <w:rPr>
          <w:lang w:val="ru-RU"/>
        </w:rPr>
        <w:t xml:space="preserve"> 1994: 58) пишет:</w:t>
      </w:r>
      <w:r>
        <w:rPr>
          <w:lang w:val="ru-RU"/>
        </w:rPr>
        <w:t xml:space="preserve"> «</w:t>
      </w:r>
      <w:r w:rsidRPr="00F35251">
        <w:rPr>
          <w:lang w:val="ru-RU"/>
        </w:rPr>
        <w:t>Как мы увидим в данной главе, нет никаких научных данных, свидетельствующих о том, что языки существенным образом формируют образ мышления носителей этих языков. Идея, что язык формирует мышление, казалась правдоподобной, когда ученые ничего не знали о том, как происходит процесс мышления, и даже о том, как можно это исследовать. Теперь, когда знают, как следует мыслить о мышлении, стало меньшим искушение приравнивать его к языку только по той причине, что слова легче пощупать руками, нежели мысли</w:t>
      </w:r>
      <w:r>
        <w:rPr>
          <w:lang w:val="ru-RU"/>
        </w:rPr>
        <w:t>»</w:t>
      </w:r>
      <w:r w:rsidRPr="00F35251">
        <w:rPr>
          <w:lang w:val="ru-RU"/>
        </w:rPr>
        <w:t xml:space="preserve"> (58).</w:t>
      </w:r>
      <w:r>
        <w:rPr>
          <w:lang w:val="ru-RU"/>
        </w:rPr>
        <w:t xml:space="preserve"> </w:t>
      </w:r>
      <w:r w:rsidRPr="00F35251">
        <w:rPr>
          <w:lang w:val="ru-RU"/>
        </w:rPr>
        <w:t xml:space="preserve">Конечно, в книге </w:t>
      </w:r>
      <w:proofErr w:type="spellStart"/>
      <w:r w:rsidRPr="00F35251">
        <w:rPr>
          <w:lang w:val="ru-RU"/>
        </w:rPr>
        <w:t>Пинкера</w:t>
      </w:r>
      <w:proofErr w:type="spellEnd"/>
      <w:r w:rsidRPr="00F35251">
        <w:rPr>
          <w:lang w:val="ru-RU"/>
        </w:rPr>
        <w:t xml:space="preserve"> нет никаких данных, свидетельствующих о возможной связи различий в мышлении с различиями </w:t>
      </w:r>
      <w:proofErr w:type="gramStart"/>
      <w:r w:rsidRPr="00F35251">
        <w:rPr>
          <w:lang w:val="ru-RU"/>
        </w:rPr>
        <w:t>языков,—</w:t>
      </w:r>
      <w:proofErr w:type="gramEnd"/>
      <w:r w:rsidRPr="00F35251">
        <w:rPr>
          <w:lang w:val="ru-RU"/>
        </w:rPr>
        <w:t xml:space="preserve"> но непонятно, чем он доказывает, что “таких данных нет”. Начать с того, что он не рассматривает никаких языков, кроме английского. Вообще эта книга отличается полным отсутствием интереса к другим языкам и другим культурам, подчеркнутым тем фактом, что из 517 работ, включенных </w:t>
      </w:r>
      <w:proofErr w:type="spellStart"/>
      <w:r w:rsidRPr="00F35251">
        <w:rPr>
          <w:lang w:val="ru-RU"/>
        </w:rPr>
        <w:t>Пинкером</w:t>
      </w:r>
      <w:proofErr w:type="spellEnd"/>
      <w:r w:rsidRPr="00F35251">
        <w:rPr>
          <w:lang w:val="ru-RU"/>
        </w:rPr>
        <w:t xml:space="preserve"> в библиографию, все работы — на английском языке.</w:t>
      </w:r>
      <w:r>
        <w:rPr>
          <w:lang w:val="ru-RU"/>
        </w:rPr>
        <w:t xml:space="preserve"> </w:t>
      </w:r>
      <w:r w:rsidRPr="00F35251">
        <w:rPr>
          <w:lang w:val="ru-RU"/>
        </w:rPr>
        <w:t xml:space="preserve">Свое осуждение теории “лингвистической относительности” </w:t>
      </w:r>
      <w:proofErr w:type="spellStart"/>
      <w:r w:rsidRPr="00F35251">
        <w:rPr>
          <w:lang w:val="ru-RU"/>
        </w:rPr>
        <w:t>Пинкер</w:t>
      </w:r>
      <w:proofErr w:type="spellEnd"/>
      <w:r w:rsidRPr="00F35251">
        <w:rPr>
          <w:lang w:val="ru-RU"/>
        </w:rPr>
        <w:t xml:space="preserve"> высказывает без обиняков. “Она неверна, совершенно неверна”, —утверждает он (57). Он высмеивает предположение что “фундаментальные категории действительности не наличествуют в реальном мире, а налагаются культурой (и потому могу быть подвергнуты сомнению...)” (57), и даже не рассматривав возможность того, что если некоторые категории могут быть врожденными, то другие могут в самом деле налагаться культурой. </w:t>
      </w:r>
      <w:r>
        <w:t>O</w:t>
      </w:r>
      <w:r w:rsidRPr="00F35251">
        <w:rPr>
          <w:lang w:val="ru-RU"/>
        </w:rPr>
        <w:t>н также полностью отвергает взгляды, высказанные Уорфом (</w:t>
      </w:r>
      <w:r>
        <w:t>Whorf</w:t>
      </w:r>
      <w:r w:rsidRPr="00F35251">
        <w:rPr>
          <w:lang w:val="ru-RU"/>
        </w:rPr>
        <w:t xml:space="preserve"> 1956) в знаменитом отрывке, заслуживающем того, чтобы его привести опять:</w:t>
      </w:r>
      <w:r>
        <w:rPr>
          <w:lang w:val="ru-RU"/>
        </w:rPr>
        <w:t xml:space="preserve"> «</w:t>
      </w:r>
      <w:r w:rsidRPr="00F35251">
        <w:rPr>
          <w:lang w:val="ru-RU"/>
        </w:rPr>
        <w:t>Мы расчленяем природу в направлении, подсказанном нашим родным языком. Мы выделяем в мире явлений те или иные категории и типы совсем не потому, что они (эти категории и типы) самоочевидны; напротив, мир предстает перед нами как калейдоскопический поток впечатлений, который должен быть организован нашим сознанием, а это значит в основном — языковой системой, хранящейся в нашем сознании. Мы расчленяем мир, организуем его в понятия и распределяем значения так, а не иначе в основном потому, что мы — участники соглашения, предписывающего подобную систематизацию. Это соглашение имеет силу для определенного речевого коллектива и закреплено в системе моделей нашего языка. Это соглашение, разумеется, никак и никем не сформулировано и лишь подразумевается, и тем не менее мы участники этого соглашения; мы вообще не сможем говорить, если только не подпишемся под систематизацией и классификацией материала, обусловленной указанным соглашением</w:t>
      </w:r>
      <w:r>
        <w:rPr>
          <w:lang w:val="ru-RU"/>
        </w:rPr>
        <w:t>»</w:t>
      </w:r>
      <w:r w:rsidRPr="00F35251">
        <w:rPr>
          <w:lang w:val="ru-RU"/>
        </w:rPr>
        <w:t xml:space="preserve"> (213).</w:t>
      </w:r>
      <w:r>
        <w:rPr>
          <w:lang w:val="ru-RU"/>
        </w:rPr>
        <w:t xml:space="preserve">  </w:t>
      </w:r>
      <w:r w:rsidRPr="00F35251">
        <w:rPr>
          <w:lang w:val="ru-RU"/>
        </w:rPr>
        <w:t xml:space="preserve">Конечно, в этом отрывке немало преувеличений (как я постараюсь показать ниже). Тем не менее никакой человек, действительно занимавшийся </w:t>
      </w:r>
      <w:r w:rsidRPr="00F35251">
        <w:rPr>
          <w:lang w:val="ru-RU"/>
        </w:rPr>
        <w:lastRenderedPageBreak/>
        <w:t>межкультурными сопоставлениями, не станет отрицать того, что в нем содержится и немалая доля истины.</w:t>
      </w:r>
      <w:r>
        <w:rPr>
          <w:lang w:val="ru-RU"/>
        </w:rPr>
        <w:t xml:space="preserve"> </w:t>
      </w:r>
      <w:proofErr w:type="spellStart"/>
      <w:r w:rsidRPr="00F35251">
        <w:rPr>
          <w:lang w:val="ru-RU"/>
        </w:rPr>
        <w:t>Пинкер</w:t>
      </w:r>
      <w:proofErr w:type="spellEnd"/>
      <w:r w:rsidRPr="00F35251">
        <w:rPr>
          <w:lang w:val="ru-RU"/>
        </w:rPr>
        <w:t xml:space="preserve"> говорит, что “чем более мы рассматриваем аргументы Уорфа, тем менее осмысленными они кажутся” (60). Но важно не то, убедительны ли конкретные примеры Уорфа и его аналитические комментарии. (По этому поводу теперь все согласны, что нет; </w:t>
      </w:r>
      <w:proofErr w:type="gramStart"/>
      <w:r w:rsidRPr="00F35251">
        <w:rPr>
          <w:lang w:val="ru-RU"/>
        </w:rPr>
        <w:t>в частности</w:t>
      </w:r>
      <w:proofErr w:type="gramEnd"/>
      <w:r w:rsidRPr="00F35251">
        <w:rPr>
          <w:lang w:val="ru-RU"/>
        </w:rPr>
        <w:t xml:space="preserve"> </w:t>
      </w:r>
      <w:proofErr w:type="spellStart"/>
      <w:r w:rsidRPr="00F35251">
        <w:rPr>
          <w:lang w:val="ru-RU"/>
        </w:rPr>
        <w:t>Малотки</w:t>
      </w:r>
      <w:proofErr w:type="spellEnd"/>
      <w:r w:rsidRPr="00F35251">
        <w:rPr>
          <w:lang w:val="ru-RU"/>
        </w:rPr>
        <w:t xml:space="preserve"> [</w:t>
      </w:r>
      <w:proofErr w:type="spellStart"/>
      <w:r>
        <w:t>Malotki</w:t>
      </w:r>
      <w:proofErr w:type="spellEnd"/>
      <w:r w:rsidRPr="00F35251">
        <w:rPr>
          <w:lang w:val="ru-RU"/>
        </w:rPr>
        <w:t xml:space="preserve"> 1983] показал, что идеи Уорфа касательно языка хопи шли не в том направлении.) Но основной тезис Уорфа, что “мы расчленяем природу в направлении, подсказанном нашим родным языком”, и что “мы расчленяем мир, [как это] закреплено в системе моделей нашего языка”, содержит глубокое проникновение в суть дела, которое должен признать всякий, у кого эмпирический горизонт выходит за пределы родного языка.</w:t>
      </w:r>
      <w:r>
        <w:rPr>
          <w:lang w:val="ru-RU"/>
        </w:rPr>
        <w:t xml:space="preserve">  </w:t>
      </w:r>
      <w:proofErr w:type="spellStart"/>
      <w:r w:rsidRPr="00F35251">
        <w:rPr>
          <w:lang w:val="ru-RU"/>
        </w:rPr>
        <w:t>Пинкер</w:t>
      </w:r>
      <w:proofErr w:type="spellEnd"/>
      <w:r w:rsidRPr="00F35251">
        <w:rPr>
          <w:lang w:val="ru-RU"/>
        </w:rPr>
        <w:t xml:space="preserve"> отвергает не только “сильную версию” теории Уорфа (и Сепира), в которой утверждается, что “то, как люди мыслят, определяется категориями, имеющимися в их родном языке”, но и “слабую версию”, гласящую, что “различия между языками влекут за собою различия в том, как мыслят их носители” (57).</w:t>
      </w:r>
      <w:r>
        <w:rPr>
          <w:lang w:val="ru-RU"/>
        </w:rPr>
        <w:t xml:space="preserve"> </w:t>
      </w:r>
      <w:bookmarkStart w:id="0" w:name="_GoBack"/>
      <w:bookmarkEnd w:id="0"/>
      <w:r w:rsidRPr="00F35251">
        <w:rPr>
          <w:lang w:val="ru-RU"/>
        </w:rPr>
        <w:t xml:space="preserve">Когда кто-то утверждает, что мышление не зависит от языка, на практике это обычно означает, что он абсолютизирует свой родной язык и использует его в качестве источника адекватных этикеток для предполагаемых “мыслительных категорий” (ср. </w:t>
      </w:r>
      <w:r>
        <w:t>Lutz 1990).</w:t>
      </w:r>
    </w:p>
    <w:sectPr w:rsidR="004D4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765"/>
    <w:rsid w:val="004D48C6"/>
    <w:rsid w:val="00882765"/>
    <w:rsid w:val="00F3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C3BD"/>
  <w15:chartTrackingRefBased/>
  <w15:docId w15:val="{F5D2E790-7475-41A9-A4F5-6066AA98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25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800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Gorbunova</dc:creator>
  <cp:keywords/>
  <dc:description/>
  <cp:lastModifiedBy>Ludmila Gorbunova</cp:lastModifiedBy>
  <cp:revision>2</cp:revision>
  <dcterms:created xsi:type="dcterms:W3CDTF">2023-03-22T12:42:00Z</dcterms:created>
  <dcterms:modified xsi:type="dcterms:W3CDTF">2023-03-22T12:46:00Z</dcterms:modified>
</cp:coreProperties>
</file>