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AD6ED" w14:textId="77777777" w:rsidR="00162BC5" w:rsidRPr="00683308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83308">
        <w:rPr>
          <w:rFonts w:ascii="Times New Roman" w:hAnsi="Times New Roman"/>
          <w:b/>
          <w:bCs/>
          <w:sz w:val="28"/>
          <w:szCs w:val="28"/>
        </w:rPr>
        <w:t>1.2. История и аспекты изучения эрративов</w:t>
      </w:r>
    </w:p>
    <w:p w14:paraId="27543723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Термин </w:t>
      </w:r>
      <w:r>
        <w:rPr>
          <w:rFonts w:ascii="Times New Roman" w:hAnsi="Times New Roman"/>
          <w:i/>
          <w:iCs/>
          <w:sz w:val="28"/>
          <w:szCs w:val="28"/>
        </w:rPr>
        <w:t>эрратив</w:t>
      </w:r>
      <w:r>
        <w:rPr>
          <w:rFonts w:ascii="Times New Roman" w:hAnsi="Times New Roman"/>
          <w:sz w:val="28"/>
          <w:szCs w:val="28"/>
        </w:rPr>
        <w:t xml:space="preserve"> изначально появляется для описания основного выразительного приёма так называемой гоблинской культуры блогов и веб-формумов, которая получает распространение в начале двухтысячных годов. Одна из первых научных статей на русском языке, посвященных исследованию данного феномена, была написана в 2005 году Гасаном Чингизовичем Гусейновым</w:t>
      </w:r>
      <w:r>
        <w:rPr>
          <w:rStyle w:val="a5"/>
          <w:sz w:val="28"/>
          <w:szCs w:val="28"/>
        </w:rPr>
        <w:footnoteReference w:id="1"/>
      </w:r>
      <w:r>
        <w:rPr>
          <w:rFonts w:ascii="Times New Roman" w:hAnsi="Times New Roman"/>
          <w:sz w:val="28"/>
          <w:szCs w:val="28"/>
        </w:rPr>
        <w:t>; именно в ней впервые выделяются функции анализируемых единиц: «Справедливо говорить о нескольких противоречивых интенциях гоблинской речевой практики. Одна – изоляционистская: [эрративы] воплощают стремление к поддержанию возможно более закрытого режима в гоблинской субкультуре. Другая – демонстрация новой эпохи, пришедшей на смену времени снятия табу на мат»</w:t>
      </w:r>
      <w:r w:rsidRPr="002F44A4">
        <w:rPr>
          <w:rFonts w:ascii="Times New Roman" w:hAnsi="Times New Roman"/>
          <w:color w:val="FF0000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[Берлога веблога … , 2005] В этой же статье автор вводит термин </w:t>
      </w:r>
      <w:r>
        <w:rPr>
          <w:rFonts w:ascii="Times New Roman" w:hAnsi="Times New Roman"/>
          <w:i/>
          <w:sz w:val="28"/>
          <w:szCs w:val="28"/>
        </w:rPr>
        <w:t>эрратив</w:t>
      </w:r>
      <w:r>
        <w:rPr>
          <w:rFonts w:ascii="Times New Roman" w:hAnsi="Times New Roman"/>
          <w:sz w:val="28"/>
          <w:szCs w:val="28"/>
        </w:rPr>
        <w:t xml:space="preserve">: «В список входят лишь те слова и выражения, употребление которых бесспорно можно отнести к нарочитым эрративам, иначе говоря, словам, которые подверг осознанному искажению носитель языка, владеющий литературной нормой» [Берлога веблога … , 2005]. Заметим, что речь здесь идёт не о самом слове, а о его графическом отражении. </w:t>
      </w:r>
    </w:p>
    <w:p w14:paraId="64D40910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Хотя анализируемые в настоящей работе написания обычно выполняют иные функции, нежели те, что называет в своей работе Г. Ч. Гусейнов, мы не видим необходимости вводить для их обозначения новый термин. Понимая под эрративами то же самое – языковые единицы, намеренно передаваемые на письме ненормативной графической формой, – мы фиксируем расширение </w:t>
      </w:r>
      <w:r>
        <w:rPr>
          <w:rFonts w:ascii="Times New Roman" w:hAnsi="Times New Roman"/>
          <w:sz w:val="28"/>
          <w:szCs w:val="28"/>
        </w:rPr>
        <w:lastRenderedPageBreak/>
        <w:t>функциональной нагрузки таких написаний и подробно описываем новые условия их употребления, развивая тем самым заданную в статье Г. Ч. Гусейнова проблематику.</w:t>
      </w:r>
    </w:p>
    <w:p w14:paraId="356C925D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Эрративы всё ещё довольно «молодой» коммуникативный феномен: по разным оценкам, ему не более 30 лет. Краткую историю их употребления в интернете приводит в статье «Роль и функции эрратива в интернет-сленге» А. И. Карасева: «Первые искажения подобного рода появились во второй половине 1990-х – в пьесах Д. Галковского. Эрративный сленг имеет три истока: кащенитские (провокационные, кощунственные – </w:t>
      </w:r>
      <w:r>
        <w:rPr>
          <w:rFonts w:ascii="Times New Roman" w:hAnsi="Times New Roman"/>
          <w:i/>
          <w:sz w:val="28"/>
          <w:szCs w:val="28"/>
        </w:rPr>
        <w:t>М. Ш.</w:t>
      </w:r>
      <w:r>
        <w:rPr>
          <w:rFonts w:ascii="Times New Roman" w:hAnsi="Times New Roman"/>
          <w:sz w:val="28"/>
          <w:szCs w:val="28"/>
        </w:rPr>
        <w:t xml:space="preserve">) конференции в </w:t>
      </w:r>
      <w:r>
        <w:rPr>
          <w:rFonts w:ascii="Times New Roman" w:hAnsi="Times New Roman"/>
          <w:sz w:val="28"/>
          <w:szCs w:val="28"/>
          <w:lang w:val="en-US"/>
        </w:rPr>
        <w:t>Fidonet</w:t>
      </w:r>
      <w:r>
        <w:rPr>
          <w:rFonts w:ascii="Times New Roman" w:hAnsi="Times New Roman"/>
          <w:sz w:val="28"/>
          <w:szCs w:val="28"/>
        </w:rPr>
        <w:t xml:space="preserve"> (компьютерная сеть, построенная по принципу прямого подключения – </w:t>
      </w:r>
      <w:r>
        <w:rPr>
          <w:rFonts w:ascii="Times New Roman" w:hAnsi="Times New Roman"/>
          <w:i/>
          <w:sz w:val="28"/>
          <w:szCs w:val="28"/>
        </w:rPr>
        <w:t>М. Ш.</w:t>
      </w:r>
      <w:r>
        <w:rPr>
          <w:rFonts w:ascii="Times New Roman" w:hAnsi="Times New Roman"/>
          <w:sz w:val="28"/>
          <w:szCs w:val="28"/>
        </w:rPr>
        <w:t xml:space="preserve">), жаргон “падонков” (его расширенную версию принято называть “олбанским языком”, превед-эрративы). Наиболее ранним из перечисленных являются эхоконференции в </w:t>
      </w:r>
      <w:r>
        <w:rPr>
          <w:rFonts w:ascii="Times New Roman" w:hAnsi="Times New Roman"/>
          <w:sz w:val="28"/>
          <w:szCs w:val="28"/>
          <w:lang w:val="en-US"/>
        </w:rPr>
        <w:t>Fidonet</w:t>
      </w:r>
      <w:r>
        <w:rPr>
          <w:rFonts w:ascii="Times New Roman" w:hAnsi="Times New Roman"/>
          <w:sz w:val="28"/>
          <w:szCs w:val="28"/>
        </w:rPr>
        <w:t xml:space="preserve">, ставшие своего рода предтечей жаргона падонков. Кащенитские конференции отличаются обилием черного юмора, шуток над самым святым. Жаргон падонков зародился как попытка несколько замаскировать инвективы при передаче/републикации текстов на сайтах, требующих несколько большего соответствия литературным нормам (как методом подстановки букв, ср. </w:t>
      </w:r>
      <w:r>
        <w:rPr>
          <w:rFonts w:ascii="Times New Roman" w:hAnsi="Times New Roman"/>
          <w:i/>
          <w:sz w:val="28"/>
          <w:szCs w:val="28"/>
        </w:rPr>
        <w:t>хуй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i/>
          <w:sz w:val="28"/>
          <w:szCs w:val="28"/>
        </w:rPr>
        <w:t>куй</w:t>
      </w:r>
      <w:r>
        <w:rPr>
          <w:rFonts w:ascii="Times New Roman" w:hAnsi="Times New Roman"/>
          <w:sz w:val="28"/>
          <w:szCs w:val="28"/>
        </w:rPr>
        <w:t xml:space="preserve">, так и сокращением, ср. </w:t>
      </w:r>
      <w:r>
        <w:rPr>
          <w:rFonts w:ascii="Times New Roman" w:hAnsi="Times New Roman"/>
          <w:i/>
          <w:sz w:val="28"/>
          <w:szCs w:val="28"/>
        </w:rPr>
        <w:t>нахуй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i/>
          <w:sz w:val="28"/>
          <w:szCs w:val="28"/>
        </w:rPr>
        <w:t>нах</w:t>
      </w:r>
      <w:r>
        <w:rPr>
          <w:rFonts w:ascii="Times New Roman" w:hAnsi="Times New Roman"/>
          <w:sz w:val="28"/>
          <w:szCs w:val="28"/>
        </w:rPr>
        <w:t>). Жаргон падонков содержательно характеризуется повышенным вниманием к телесному низу. Третий тип, прежде всего предполагающий декоративную обработку фонетики, зародился на развлекательных сайтах (несомненно, испытавших сильное влияние падонкавской традиции, но, тем не менее, вполне самостоятельных)» [Карасева, 2008, с. 131].</w:t>
      </w:r>
    </w:p>
    <w:p w14:paraId="2137D4AD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 И. Карасева также отмечает, что прошло немало времени, прежде чем эрративы стали распространенным приемом в русскоязычной письменной коммуникации: «Употребление акцентированно неграмотных слов приобрело характер эпидемии (т.е. по сути обрело соответствующую социальную базу) лишь в феврале 2006 года, тогда как само явление эрратива возникло во второй половине 1990-х» [Карасева, 2008, с. 130]. Данный факт объясняется </w:t>
      </w:r>
      <w:r>
        <w:rPr>
          <w:rFonts w:ascii="Times New Roman" w:hAnsi="Times New Roman"/>
          <w:sz w:val="28"/>
          <w:szCs w:val="28"/>
        </w:rPr>
        <w:lastRenderedPageBreak/>
        <w:t>стремительным развитием интернет-технологий, в связи с которым начиная с середины 2000-х годов доступ ко всемирной сети становился всё более доступным, стабильным и высокоскоростным.</w:t>
      </w:r>
    </w:p>
    <w:p w14:paraId="75E6B0FC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Эрративы получили распространение и в иноязычном коммуникативном пространстве. В работе «Сленг в интернет-коммуникации…» Е. С. Захарова, характеризуя интернет-сленг в английском языке (терминология автора), в числе прочих его отличительных средств выделяет намеренное несоблюдение норм орфографии: «Пятая группа “эрративы” – то есть нарочное нарушение нормы. Сюда относятся грамматически или графически неправильные слова, которые, тем не менее, понятны с первого прочтения. &lt;…&gt; Ср.: </w:t>
      </w:r>
      <w:r>
        <w:rPr>
          <w:rFonts w:ascii="Times New Roman" w:hAnsi="Times New Roman"/>
          <w:i/>
          <w:sz w:val="28"/>
          <w:szCs w:val="28"/>
          <w:lang w:val="en-US"/>
        </w:rPr>
        <w:t>Wut</w:t>
      </w:r>
      <w:r>
        <w:rPr>
          <w:rFonts w:ascii="Times New Roman" w:hAnsi="Times New Roman"/>
          <w:sz w:val="28"/>
          <w:szCs w:val="28"/>
        </w:rPr>
        <w:t xml:space="preserve"> – вместо </w:t>
      </w:r>
      <w:r>
        <w:rPr>
          <w:rFonts w:ascii="Times New Roman" w:hAnsi="Times New Roman"/>
          <w:i/>
          <w:sz w:val="28"/>
          <w:szCs w:val="28"/>
          <w:lang w:val="en-US"/>
        </w:rPr>
        <w:t>what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i/>
          <w:sz w:val="28"/>
          <w:szCs w:val="28"/>
          <w:lang w:val="en-US"/>
        </w:rPr>
        <w:t>Dat</w:t>
      </w:r>
      <w:r>
        <w:rPr>
          <w:rFonts w:ascii="Times New Roman" w:hAnsi="Times New Roman"/>
          <w:sz w:val="28"/>
          <w:szCs w:val="28"/>
        </w:rPr>
        <w:t xml:space="preserve"> – вместо </w:t>
      </w:r>
      <w:r>
        <w:rPr>
          <w:rFonts w:ascii="Times New Roman" w:hAnsi="Times New Roman"/>
          <w:i/>
          <w:sz w:val="28"/>
          <w:szCs w:val="28"/>
          <w:lang w:val="en-US"/>
        </w:rPr>
        <w:t>that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i/>
          <w:sz w:val="28"/>
          <w:szCs w:val="28"/>
          <w:lang w:val="en-US"/>
        </w:rPr>
        <w:t>Da</w:t>
      </w:r>
      <w:r>
        <w:rPr>
          <w:rFonts w:ascii="Times New Roman" w:hAnsi="Times New Roman"/>
          <w:sz w:val="28"/>
          <w:szCs w:val="28"/>
        </w:rPr>
        <w:t xml:space="preserve"> – вместо </w:t>
      </w:r>
      <w:r>
        <w:rPr>
          <w:rFonts w:ascii="Times New Roman" w:hAnsi="Times New Roman"/>
          <w:i/>
          <w:sz w:val="28"/>
          <w:szCs w:val="28"/>
          <w:lang w:val="en-US"/>
        </w:rPr>
        <w:t>the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i/>
          <w:sz w:val="28"/>
          <w:szCs w:val="28"/>
          <w:lang w:val="en-US"/>
        </w:rPr>
        <w:t>Teh</w:t>
      </w:r>
      <w:r>
        <w:rPr>
          <w:rFonts w:ascii="Times New Roman" w:hAnsi="Times New Roman"/>
          <w:sz w:val="28"/>
          <w:szCs w:val="28"/>
        </w:rPr>
        <w:t xml:space="preserve"> – вместо </w:t>
      </w:r>
      <w:r>
        <w:rPr>
          <w:rFonts w:ascii="Times New Roman" w:hAnsi="Times New Roman"/>
          <w:i/>
          <w:sz w:val="28"/>
          <w:szCs w:val="28"/>
          <w:lang w:val="en-US"/>
        </w:rPr>
        <w:t>the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i/>
          <w:sz w:val="28"/>
          <w:szCs w:val="28"/>
          <w:lang w:val="en-US"/>
        </w:rPr>
        <w:t>Ov</w:t>
      </w:r>
      <w:r>
        <w:rPr>
          <w:rFonts w:ascii="Times New Roman" w:hAnsi="Times New Roman"/>
          <w:sz w:val="28"/>
          <w:szCs w:val="28"/>
        </w:rPr>
        <w:t xml:space="preserve"> – вместо </w:t>
      </w:r>
      <w:r>
        <w:rPr>
          <w:rFonts w:ascii="Times New Roman" w:hAnsi="Times New Roman"/>
          <w:i/>
          <w:sz w:val="28"/>
          <w:szCs w:val="28"/>
          <w:lang w:val="en-US"/>
        </w:rPr>
        <w:t>of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i/>
          <w:sz w:val="28"/>
          <w:szCs w:val="28"/>
          <w:lang w:val="en-US"/>
        </w:rPr>
        <w:t>Picsher</w:t>
      </w:r>
      <w:r>
        <w:rPr>
          <w:rFonts w:ascii="Times New Roman" w:hAnsi="Times New Roman"/>
          <w:sz w:val="28"/>
          <w:szCs w:val="28"/>
        </w:rPr>
        <w:t xml:space="preserve"> – вместо </w:t>
      </w:r>
      <w:r>
        <w:rPr>
          <w:rFonts w:ascii="Times New Roman" w:hAnsi="Times New Roman"/>
          <w:i/>
          <w:sz w:val="28"/>
          <w:szCs w:val="28"/>
          <w:lang w:val="en-US"/>
        </w:rPr>
        <w:t>picture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i/>
          <w:sz w:val="28"/>
          <w:szCs w:val="28"/>
          <w:lang w:val="en-US"/>
        </w:rPr>
        <w:t>Bukket</w:t>
      </w:r>
      <w:r>
        <w:rPr>
          <w:rFonts w:ascii="Times New Roman" w:hAnsi="Times New Roman"/>
          <w:sz w:val="28"/>
          <w:szCs w:val="28"/>
        </w:rPr>
        <w:t xml:space="preserve"> – вместо </w:t>
      </w:r>
      <w:r>
        <w:rPr>
          <w:rFonts w:ascii="Times New Roman" w:hAnsi="Times New Roman"/>
          <w:i/>
          <w:sz w:val="28"/>
          <w:szCs w:val="28"/>
          <w:lang w:val="en-US"/>
        </w:rPr>
        <w:t>bucket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i/>
          <w:sz w:val="28"/>
          <w:szCs w:val="28"/>
          <w:lang w:val="en-US"/>
        </w:rPr>
        <w:t>Bai</w:t>
      </w:r>
      <w:r>
        <w:rPr>
          <w:rFonts w:ascii="Times New Roman" w:hAnsi="Times New Roman"/>
          <w:sz w:val="28"/>
          <w:szCs w:val="28"/>
        </w:rPr>
        <w:t xml:space="preserve"> – вместо </w:t>
      </w:r>
      <w:r>
        <w:rPr>
          <w:rFonts w:ascii="Times New Roman" w:hAnsi="Times New Roman"/>
          <w:i/>
          <w:sz w:val="28"/>
          <w:szCs w:val="28"/>
          <w:lang w:val="en-US"/>
        </w:rPr>
        <w:t>bye</w:t>
      </w:r>
      <w:r>
        <w:rPr>
          <w:rFonts w:ascii="Times New Roman" w:hAnsi="Times New Roman"/>
          <w:sz w:val="28"/>
          <w:szCs w:val="28"/>
        </w:rPr>
        <w:t xml:space="preserve">» [Захарова, 2016, с. 42]. </w:t>
      </w:r>
    </w:p>
    <w:p w14:paraId="2E209FF8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 П. Сон в статье «Лексико-семантические особенности интернет-коммуникации» описывает основные средства «испанского языка </w:t>
      </w:r>
      <w:r>
        <w:rPr>
          <w:rFonts w:ascii="Times New Roman" w:hAnsi="Times New Roman"/>
          <w:b/>
          <w:sz w:val="28"/>
          <w:szCs w:val="28"/>
          <w:lang w:val="en-US"/>
        </w:rPr>
        <w:t>red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>
        <w:rPr>
          <w:rFonts w:ascii="Times New Roman" w:hAnsi="Times New Roman"/>
          <w:b/>
          <w:sz w:val="28"/>
          <w:szCs w:val="28"/>
          <w:lang w:val="en-US"/>
        </w:rPr>
        <w:t>web</w:t>
      </w:r>
      <w:r>
        <w:rPr>
          <w:rFonts w:ascii="Times New Roman" w:hAnsi="Times New Roman"/>
          <w:b/>
          <w:sz w:val="28"/>
          <w:szCs w:val="28"/>
        </w:rPr>
        <w:t xml:space="preserve">)-общения </w:t>
      </w:r>
      <w:r>
        <w:rPr>
          <w:rFonts w:ascii="Times New Roman" w:hAnsi="Times New Roman"/>
          <w:sz w:val="28"/>
          <w:szCs w:val="28"/>
        </w:rPr>
        <w:t xml:space="preserve">(выделение автора), который возник с появлением интернета, быстро развивается и активно используется при общении на многочисленных испаноязычных форумах и чатах» [Сан, 2009, с. 194]. Одним из таких средств является «замена букв испанского алфавита транскрипционными знаками. </w:t>
      </w:r>
      <w:r>
        <w:rPr>
          <w:rFonts w:ascii="Times New Roman" w:hAnsi="Times New Roman"/>
          <w:i/>
          <w:sz w:val="28"/>
          <w:szCs w:val="28"/>
          <w:lang w:val="en-US"/>
        </w:rPr>
        <w:t>Ke</w:t>
      </w:r>
      <w:r>
        <w:rPr>
          <w:rFonts w:ascii="Times New Roman" w:hAnsi="Times New Roman"/>
          <w:sz w:val="28"/>
          <w:szCs w:val="28"/>
        </w:rPr>
        <w:t xml:space="preserve"> вместо </w:t>
      </w:r>
      <w:r>
        <w:rPr>
          <w:rFonts w:ascii="Times New Roman" w:hAnsi="Times New Roman"/>
          <w:i/>
          <w:sz w:val="28"/>
          <w:szCs w:val="28"/>
          <w:lang w:val="en-US"/>
        </w:rPr>
        <w:t>que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en-US"/>
        </w:rPr>
        <w:t>komo</w:t>
      </w:r>
      <w:r>
        <w:rPr>
          <w:rFonts w:ascii="Times New Roman" w:hAnsi="Times New Roman"/>
          <w:sz w:val="28"/>
          <w:szCs w:val="28"/>
        </w:rPr>
        <w:t xml:space="preserve"> вместо </w:t>
      </w:r>
      <w:r>
        <w:rPr>
          <w:rFonts w:ascii="Times New Roman" w:hAnsi="Times New Roman"/>
          <w:i/>
          <w:sz w:val="28"/>
          <w:szCs w:val="28"/>
          <w:lang w:val="en-US"/>
        </w:rPr>
        <w:t>como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en-US"/>
        </w:rPr>
        <w:t>aki</w:t>
      </w:r>
      <w:r>
        <w:rPr>
          <w:rFonts w:ascii="Times New Roman" w:hAnsi="Times New Roman"/>
          <w:sz w:val="28"/>
          <w:szCs w:val="28"/>
        </w:rPr>
        <w:t xml:space="preserve"> вместо </w:t>
      </w:r>
      <w:r>
        <w:rPr>
          <w:rFonts w:ascii="Times New Roman" w:hAnsi="Times New Roman"/>
          <w:i/>
          <w:sz w:val="28"/>
          <w:szCs w:val="28"/>
          <w:lang w:val="en-US"/>
        </w:rPr>
        <w:t>aqui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en-US"/>
        </w:rPr>
        <w:t>nunka</w:t>
      </w:r>
      <w:r>
        <w:rPr>
          <w:rFonts w:ascii="Times New Roman" w:hAnsi="Times New Roman"/>
          <w:sz w:val="28"/>
          <w:szCs w:val="28"/>
        </w:rPr>
        <w:t xml:space="preserve"> вместо </w:t>
      </w:r>
      <w:r>
        <w:rPr>
          <w:rFonts w:ascii="Times New Roman" w:hAnsi="Times New Roman"/>
          <w:i/>
          <w:sz w:val="28"/>
          <w:szCs w:val="28"/>
          <w:lang w:val="en-US"/>
        </w:rPr>
        <w:t>nunca</w:t>
      </w:r>
      <w:r>
        <w:rPr>
          <w:rFonts w:ascii="Times New Roman" w:hAnsi="Times New Roman"/>
          <w:sz w:val="28"/>
          <w:szCs w:val="28"/>
        </w:rPr>
        <w:t xml:space="preserve">. Приведенные выше примеры очень характерны для письменного </w:t>
      </w:r>
      <w:r>
        <w:rPr>
          <w:rFonts w:ascii="Times New Roman" w:hAnsi="Times New Roman"/>
          <w:b/>
          <w:sz w:val="28"/>
          <w:szCs w:val="28"/>
          <w:lang w:val="en-US"/>
        </w:rPr>
        <w:t>red</w:t>
      </w:r>
      <w:r>
        <w:rPr>
          <w:rFonts w:ascii="Times New Roman" w:hAnsi="Times New Roman"/>
          <w:b/>
          <w:sz w:val="28"/>
          <w:szCs w:val="28"/>
        </w:rPr>
        <w:t xml:space="preserve"> общения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44A4">
        <w:rPr>
          <w:rFonts w:ascii="Times New Roman" w:hAnsi="Times New Roman"/>
          <w:color w:val="FF0000"/>
          <w:sz w:val="28"/>
          <w:szCs w:val="28"/>
        </w:rPr>
        <w:t>(выделение автора)</w:t>
      </w:r>
      <w:r>
        <w:rPr>
          <w:rFonts w:ascii="Times New Roman" w:hAnsi="Times New Roman"/>
          <w:sz w:val="28"/>
          <w:szCs w:val="28"/>
        </w:rPr>
        <w:t xml:space="preserve"> испанцев, а именно осознанного несоблюдения правил испанской орфографии» [Там же, с 195]. </w:t>
      </w:r>
      <w:commentRangeStart w:id="0"/>
      <w:r>
        <w:rPr>
          <w:rFonts w:ascii="Times New Roman" w:hAnsi="Times New Roman"/>
          <w:sz w:val="28"/>
          <w:szCs w:val="28"/>
        </w:rPr>
        <w:t>Исс</w:t>
      </w:r>
      <w:commentRangeEnd w:id="0"/>
      <w:r>
        <w:rPr>
          <w:rStyle w:val="a8"/>
          <w:rFonts w:eastAsia="Times New Roman" w:cs="Times New Roman"/>
        </w:rPr>
        <w:commentReference w:id="0"/>
      </w:r>
      <w:r>
        <w:rPr>
          <w:rFonts w:ascii="Times New Roman" w:hAnsi="Times New Roman"/>
          <w:sz w:val="28"/>
          <w:szCs w:val="28"/>
        </w:rPr>
        <w:t xml:space="preserve">ледователи также фиксируют распространение эрративов в речевой практике франкоязычного интернет-сообщества: «помимо использования словообразовательных способов для нового написания слов применяются эрративы. &lt;…&gt; Перечислим варианты французских слов </w:t>
      </w:r>
      <w:r>
        <w:rPr>
          <w:rFonts w:ascii="Times New Roman" w:hAnsi="Times New Roman"/>
          <w:i/>
          <w:iCs/>
          <w:sz w:val="28"/>
          <w:szCs w:val="28"/>
        </w:rPr>
        <w:t>merci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i/>
          <w:iCs/>
          <w:sz w:val="28"/>
          <w:szCs w:val="28"/>
        </w:rPr>
        <w:t>moi</w:t>
      </w:r>
      <w:r>
        <w:rPr>
          <w:rFonts w:ascii="Times New Roman" w:hAnsi="Times New Roman"/>
          <w:sz w:val="28"/>
          <w:szCs w:val="28"/>
        </w:rPr>
        <w:t xml:space="preserve">, которые нам встретились во франкоязычных форумах: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Merci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merki</w:t>
      </w:r>
      <w:r>
        <w:rPr>
          <w:rFonts w:ascii="Times New Roman" w:hAnsi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mici</w:t>
      </w:r>
      <w:r>
        <w:rPr>
          <w:rFonts w:ascii="Times New Roman" w:hAnsi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mci</w:t>
      </w:r>
      <w:r>
        <w:rPr>
          <w:rFonts w:ascii="Times New Roman" w:hAnsi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ci</w:t>
      </w:r>
      <w:r>
        <w:rPr>
          <w:rFonts w:ascii="Times New Roman" w:hAnsi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miki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i/>
          <w:iCs/>
          <w:sz w:val="28"/>
          <w:szCs w:val="28"/>
        </w:rPr>
        <w:t>Moi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i/>
          <w:iCs/>
          <w:sz w:val="28"/>
          <w:szCs w:val="28"/>
        </w:rPr>
        <w:t>mwa, moa, moua</w:t>
      </w:r>
      <w:r>
        <w:rPr>
          <w:rFonts w:ascii="Times New Roman" w:hAnsi="Times New Roman"/>
          <w:sz w:val="28"/>
          <w:szCs w:val="28"/>
        </w:rPr>
        <w:t>» [Клеймёнова, 2014, с. 59–60]. Подобные тенденции наблюдаются и в онлайн-общении в социальных сетях на таджикском языке [Искандарова, 2026].</w:t>
      </w:r>
    </w:p>
    <w:p w14:paraId="34A5C0A4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контексте русской письменной коммуникации эрративы изучаются в разных аспектах и получают разные, порой полярные, оценки. В период существования «олбанского языка» и некоторое время после значительного сокращения его употребления (2000 – 2015 гг.) посвящённые эрративам научные работы – условно назовём их ранними – носили преимущественно каталогизирующий или эколингвистический характер. Среди исследований, опубликованных в это время, наибольшую актуальность для современной лингвистики, как нам кажется, представляют те их них, которые подчеркивают продуктивность явления эрратографии, обнаруживая в частных языковых средствах и коммуникативных тенденциях свойства, доказывающие неизменную актуальность намеренного несоблюдения орфографии для неофициальной интернет-коммуникации [Карасева, 2008; Гох, 2011; Сидоров, 2011; Уткин, 2011; Аникина, 2014; Ефремов, 2014].</w:t>
      </w:r>
    </w:p>
    <w:p w14:paraId="55DC1B5C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Примером такого исследования можно назвать статью 2014 года «Искажение орфографического облика слова … при русскоязычной коммуникации в </w:t>
      </w:r>
      <w:r>
        <w:rPr>
          <w:rFonts w:ascii="Times New Roman" w:hAnsi="Times New Roman"/>
          <w:sz w:val="28"/>
          <w:szCs w:val="28"/>
          <w:lang w:val="en-US"/>
        </w:rPr>
        <w:t>Twitter</w:t>
      </w:r>
      <w:r>
        <w:rPr>
          <w:rFonts w:ascii="Times New Roman" w:hAnsi="Times New Roman"/>
          <w:sz w:val="28"/>
          <w:szCs w:val="28"/>
        </w:rPr>
        <w:t>». Проанализировав внушительный объём языкового материала, автор данного исследования приходит к следующему выводу: «Некоторые удачно подобранные эрративы из субкультуры “падонков” стали текстовыми клише и популярны до сих пор (</w:t>
      </w:r>
      <w:r>
        <w:rPr>
          <w:rFonts w:ascii="Times New Roman" w:hAnsi="Times New Roman"/>
          <w:i/>
          <w:sz w:val="28"/>
          <w:szCs w:val="28"/>
        </w:rPr>
        <w:t>превед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/>
          <w:sz w:val="28"/>
          <w:szCs w:val="28"/>
        </w:rPr>
        <w:t>аццкий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сотона</w:t>
      </w:r>
      <w:r>
        <w:rPr>
          <w:rFonts w:ascii="Times New Roman" w:hAnsi="Times New Roman"/>
          <w:sz w:val="28"/>
          <w:szCs w:val="28"/>
        </w:rPr>
        <w:t xml:space="preserve">). Но создаются и новые слова, с разной степенью искажения нормы правописания. Например, словоформа </w:t>
      </w:r>
      <w:r>
        <w:rPr>
          <w:rFonts w:ascii="Times New Roman" w:hAnsi="Times New Roman"/>
          <w:i/>
          <w:sz w:val="28"/>
          <w:szCs w:val="28"/>
        </w:rPr>
        <w:t>норм</w:t>
      </w:r>
      <w:r>
        <w:rPr>
          <w:rFonts w:ascii="Times New Roman" w:hAnsi="Times New Roman"/>
          <w:sz w:val="28"/>
          <w:szCs w:val="28"/>
        </w:rPr>
        <w:t xml:space="preserve">, занимающая третье место в частотном списке кириллических словоформ, образована усечением, как и формы </w:t>
      </w:r>
      <w:r>
        <w:rPr>
          <w:rFonts w:ascii="Times New Roman" w:hAnsi="Times New Roman"/>
          <w:i/>
          <w:sz w:val="28"/>
          <w:szCs w:val="28"/>
        </w:rPr>
        <w:t>бля</w:t>
      </w:r>
      <w:r>
        <w:rPr>
          <w:rFonts w:ascii="Times New Roman" w:hAnsi="Times New Roman"/>
          <w:sz w:val="28"/>
          <w:szCs w:val="28"/>
        </w:rPr>
        <w:t xml:space="preserve"> (724), </w:t>
      </w:r>
      <w:r>
        <w:rPr>
          <w:rFonts w:ascii="Times New Roman" w:hAnsi="Times New Roman"/>
          <w:i/>
          <w:sz w:val="28"/>
          <w:szCs w:val="28"/>
        </w:rPr>
        <w:t>бл</w:t>
      </w:r>
      <w:r>
        <w:rPr>
          <w:rFonts w:ascii="Times New Roman" w:hAnsi="Times New Roman"/>
          <w:sz w:val="28"/>
          <w:szCs w:val="28"/>
        </w:rPr>
        <w:t xml:space="preserve"> (126), </w:t>
      </w:r>
      <w:r>
        <w:rPr>
          <w:rFonts w:ascii="Times New Roman" w:hAnsi="Times New Roman"/>
          <w:i/>
          <w:sz w:val="28"/>
          <w:szCs w:val="28"/>
        </w:rPr>
        <w:t>тож</w:t>
      </w:r>
      <w:r>
        <w:rPr>
          <w:rFonts w:ascii="Times New Roman" w:hAnsi="Times New Roman"/>
          <w:sz w:val="28"/>
          <w:szCs w:val="28"/>
        </w:rPr>
        <w:t xml:space="preserve"> (71), </w:t>
      </w:r>
      <w:r>
        <w:rPr>
          <w:rFonts w:ascii="Times New Roman" w:hAnsi="Times New Roman"/>
          <w:i/>
          <w:sz w:val="28"/>
          <w:szCs w:val="28"/>
        </w:rPr>
        <w:t>пох</w:t>
      </w:r>
      <w:r>
        <w:rPr>
          <w:rFonts w:ascii="Times New Roman" w:hAnsi="Times New Roman"/>
          <w:sz w:val="28"/>
          <w:szCs w:val="28"/>
        </w:rPr>
        <w:t xml:space="preserve"> (66), </w:t>
      </w:r>
      <w:r>
        <w:rPr>
          <w:rFonts w:ascii="Times New Roman" w:hAnsi="Times New Roman"/>
          <w:i/>
          <w:sz w:val="28"/>
          <w:szCs w:val="28"/>
        </w:rPr>
        <w:t>оч</w:t>
      </w:r>
      <w:r>
        <w:rPr>
          <w:rFonts w:ascii="Times New Roman" w:hAnsi="Times New Roman"/>
          <w:sz w:val="28"/>
          <w:szCs w:val="28"/>
        </w:rPr>
        <w:t xml:space="preserve"> (64), </w:t>
      </w:r>
      <w:r>
        <w:rPr>
          <w:rFonts w:ascii="Times New Roman" w:hAnsi="Times New Roman"/>
          <w:i/>
          <w:sz w:val="28"/>
          <w:szCs w:val="28"/>
        </w:rPr>
        <w:t>кароч</w:t>
      </w:r>
      <w:r>
        <w:rPr>
          <w:rFonts w:ascii="Times New Roman" w:hAnsi="Times New Roman"/>
          <w:sz w:val="28"/>
          <w:szCs w:val="28"/>
        </w:rPr>
        <w:t xml:space="preserve"> (54), </w:t>
      </w:r>
      <w:r>
        <w:rPr>
          <w:rFonts w:ascii="Times New Roman" w:hAnsi="Times New Roman"/>
          <w:i/>
          <w:sz w:val="28"/>
          <w:szCs w:val="28"/>
        </w:rPr>
        <w:t>чет</w:t>
      </w:r>
      <w:r>
        <w:rPr>
          <w:rFonts w:ascii="Times New Roman" w:hAnsi="Times New Roman"/>
          <w:sz w:val="28"/>
          <w:szCs w:val="28"/>
        </w:rPr>
        <w:t xml:space="preserve"> (44), </w:t>
      </w:r>
      <w:r>
        <w:rPr>
          <w:rFonts w:ascii="Times New Roman" w:hAnsi="Times New Roman"/>
          <w:i/>
          <w:sz w:val="28"/>
          <w:szCs w:val="28"/>
        </w:rPr>
        <w:t>тел</w:t>
      </w:r>
      <w:r>
        <w:rPr>
          <w:rFonts w:ascii="Times New Roman" w:hAnsi="Times New Roman"/>
          <w:sz w:val="28"/>
          <w:szCs w:val="28"/>
        </w:rPr>
        <w:t xml:space="preserve"> (35). Распространенность этой словоформы не только является еще одним подтверждением действия закона экономии речевых усилий, но и отражает такую тенденцию в компьютерно-опосредованной коммуникации, как использование прецедентных языковых (и неязыковых) единиц» [Карнуп, 2014, с.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145].</w:t>
      </w:r>
    </w:p>
    <w:p w14:paraId="781272B5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Примечательны также работы, использующие термин </w:t>
      </w:r>
      <w:r>
        <w:rPr>
          <w:rFonts w:ascii="Times New Roman" w:hAnsi="Times New Roman"/>
          <w:i/>
          <w:iCs/>
          <w:sz w:val="28"/>
          <w:szCs w:val="28"/>
        </w:rPr>
        <w:t>эрратив</w:t>
      </w:r>
      <w:r>
        <w:rPr>
          <w:rFonts w:ascii="Times New Roman" w:hAnsi="Times New Roman"/>
          <w:sz w:val="28"/>
          <w:szCs w:val="28"/>
        </w:rPr>
        <w:t xml:space="preserve"> для обозначения других явлений, связанных с намеренной ненормативностью </w:t>
      </w:r>
      <w:r>
        <w:rPr>
          <w:rFonts w:ascii="Times New Roman" w:hAnsi="Times New Roman"/>
          <w:sz w:val="28"/>
          <w:szCs w:val="28"/>
        </w:rPr>
        <w:lastRenderedPageBreak/>
        <w:t>[Арбатская, 2016; Шилова, 2024; Савина, 2026]. Так, в статье О.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Арбатской «Эрративы, связанные с категорией переходности-неперходности» рассматриваются непереходные глаголы, употребленные в речи как переходные («</w:t>
      </w:r>
      <w:r>
        <w:rPr>
          <w:rFonts w:ascii="Times New Roman" w:hAnsi="Times New Roman"/>
          <w:i/>
          <w:sz w:val="28"/>
          <w:szCs w:val="28"/>
        </w:rPr>
        <w:t>Я его раскормила, я его и похудею; Кто девушку ужинает, тот ее и танцует</w:t>
      </w:r>
      <w:r>
        <w:rPr>
          <w:rFonts w:ascii="Times New Roman" w:hAnsi="Times New Roman"/>
          <w:sz w:val="28"/>
          <w:szCs w:val="28"/>
        </w:rPr>
        <w:t>» [Арбатская, 2016, с.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28]): «Эрративное употребление непереходных глаголов в качестве переходных обусловлено разными причинами, главная из которых – реализация возможностей языковой системы для заполнения существующих лакун в выражении тех или иных смыслов» [Там же, с.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 xml:space="preserve">29]. Здесь под эрративами понимаются нарочито ненормативные словоупотребления, связанные с несоблюдением языковых (в частности, морфологических), а не орфографических норм. Такое употребление данного термина опирается на внутреннюю форму слова </w:t>
      </w:r>
      <w:r>
        <w:rPr>
          <w:rFonts w:ascii="Times New Roman" w:hAnsi="Times New Roman"/>
          <w:i/>
          <w:sz w:val="28"/>
          <w:szCs w:val="28"/>
        </w:rPr>
        <w:t>эрратив</w:t>
      </w:r>
      <w:r>
        <w:rPr>
          <w:rFonts w:ascii="Times New Roman" w:hAnsi="Times New Roman"/>
          <w:sz w:val="28"/>
          <w:szCs w:val="28"/>
        </w:rPr>
        <w:t xml:space="preserve">, выражающую идею ошибочности, и потому вполне оправданно, пусть и нежелательно, так как приводит к терминологической многозначности. Подобные нестандартные случаи использования термина эрратив, представляя безусловный научный интерес, не связаны с анализируемыми нами явлениями и потому неактуальны для настоящей работы. </w:t>
      </w:r>
    </w:p>
    <w:p w14:paraId="76C7853C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Некоторые учёные [Александрова, 2007; Клеймёнова, 2014</w:t>
      </w:r>
      <w:r w:rsidRPr="00D26999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Цицкун, 2015</w:t>
      </w:r>
      <w:r w:rsidRPr="00D26999">
        <w:rPr>
          <w:rFonts w:ascii="Times New Roman" w:hAnsi="Times New Roman"/>
          <w:sz w:val="28"/>
          <w:szCs w:val="28"/>
        </w:rPr>
        <w:t xml:space="preserve">; </w:t>
      </w:r>
      <w:r w:rsidRPr="00194707">
        <w:rPr>
          <w:rFonts w:ascii="Times New Roman" w:hAnsi="Times New Roman" w:cs="Times New Roman"/>
          <w:sz w:val="28"/>
          <w:szCs w:val="28"/>
        </w:rPr>
        <w:t>Шутилова, Ахметьянова, 2016</w:t>
      </w:r>
      <w:r>
        <w:rPr>
          <w:rFonts w:ascii="Times New Roman" w:hAnsi="Times New Roman"/>
          <w:sz w:val="28"/>
          <w:szCs w:val="28"/>
        </w:rPr>
        <w:t xml:space="preserve">] увидели в эрративах деструктивное явление, которое, по мнению авторов, представляет опасность для грамотности населения и кодификации в целом: «Феномены типа “новояз”, “олбанский язык” (“альтернативный язык”, “аффтарский текст”, “лингвистическая монархия”, “интернетояз”) затрудняют процесс идентификации ошибок: сама ошибка повергается осмеянию и нивелировке. Мир постоянной игры, постоянного осмеивания языка, постоянное перетолкование крайне усеченных знаний и отсутствие сформированных языковых и сопутствующих умений формирует неуважение к языку, культуре, истории, к себе и к человечеству. Формируется представление о себе как инструменте, орудии, но не субъекте и личности как части культуры и носителе духовно-нравственных ценностей, целей и языка» [Арпентьева, </w:t>
      </w:r>
      <w:r>
        <w:rPr>
          <w:rFonts w:ascii="Times New Roman" w:hAnsi="Times New Roman"/>
          <w:sz w:val="28"/>
          <w:szCs w:val="28"/>
        </w:rPr>
        <w:lastRenderedPageBreak/>
        <w:t xml:space="preserve">2018, с. 6]. Такую оценку можно наблюдать и в некоторых современных работах: «Под влиянием социальных медиа русский язык становится всё менее нормированным, создаются параллельные нелитературные нормы, что приводит к росту неграмотности» [Егорова, 2025, с. 107]. Подобные опасения обусловлены, во-первых, имманентно присущей эрративам провокативностью и, во-вторых, растущим вниманием к эколингвистическим взглядам на развитие языка. </w:t>
      </w:r>
    </w:p>
    <w:p w14:paraId="5F4F35D2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действительно, хотя компетентный пишущий употребляет эрративы, неизменно отталкиваясь от кодифицированного написания, всегда существует риск, что пользователь, столкнувшийся с модной прецедентной единицей, но не знакомый ни с её функциональной спецификой, ни с нормативным графическим оформлением, начнёт неуместно воспроизводить данную единицу, не осознавая последствий. Ввиду этого считаем особенно важным подчеркнуть, что настоящее исследование проводится преимущественно в рамках системно-структурной парадигмы, которая имеет своей целью каталогизировать и систематизировать факты языка и речи, давая их компетентную лингвистическую оценку, при этом осознанно воздерживаясь от оценки социальной. Также отметим, что, опираясь на описанную ранее методику, мы рассматриваем только такие случаи употребления некодифицированных написаний, которые можно с полной уверенностью либо же с высокой степенью вероятности квалифицировать как осознанные.</w:t>
      </w:r>
    </w:p>
    <w:p w14:paraId="7CD0B032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следующего десятилетия развитие и распространение интернета, а вместе с тем и интернет-коммуникации, принимает глобальный характер: «В 2022 году жизнь среднего человека немыслима без интернета. По данным глобального обзора Digital 2022 агентства DataReportal, по состоянию на январь 2022 года в России насчитывается 129,8 млн интернет-пользователей, что составляет 89% от общей численности населения страны. И число пользователей с каждым годом неуклонно растет» [Макарова, 2022, с. 150]. Как следствие, онлайн-общение в целом и его многочисленные </w:t>
      </w:r>
      <w:r>
        <w:rPr>
          <w:rFonts w:ascii="Times New Roman" w:hAnsi="Times New Roman"/>
          <w:sz w:val="28"/>
          <w:szCs w:val="28"/>
        </w:rPr>
        <w:lastRenderedPageBreak/>
        <w:t xml:space="preserve">отличительные черты всё чаще попадают в поле зрения современной лингвистики и всё реже подвергаются радикальным оценкам. </w:t>
      </w:r>
    </w:p>
    <w:p w14:paraId="6D04787B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работах этого периода эрративы рассматриваются уже как самостоятельный феномен, вышедший из речи закрытых онлайн-сообществ в широкое употребление как в интернете, так и за его пределами. Как следствие, многие исследования посвящены определению функционального назначения эрративных единиц в обширном диапазоне контекстов и коммуникативных ситуаций [Бунаева, 2020; Кошелева, 2020; Щур, 2020; Гладкая, 2021; Бараненко, Завтрикова, 2022; Кочетков, Кочеткова, 2022; Никонова, 2022; Хицкова, 2022; Хнаева, Бец, 2022; Гукова, 2025; Исаева, Волчкова, 2025; Кульпина, 2026]. В обзорной статье «Эрративы в электронной письменной речи: топологические особенности и функциональное назначение» М. В. Хицкова приводит ряд интенций, реализации которых способствует эрративизация: «Орфографические конвенции нарушаются интернет-пользователями с целью придания общению игрового характера, для достижения юмористического эффекта, из-за стремления к непринужденности языка и сокращению коммуникативной дистанции, так как отсутствуют другие средства, позволяющие выразить свое отношение к собеседнику (интонация, мимика, жесты). Целью появления эрратива также может считаться эпатирование» [Хицкова, 2022, с. 259].</w:t>
      </w:r>
    </w:p>
    <w:p w14:paraId="5F8EEC82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Эрративы активно используются для осмысления и обсуждения актуальных общественных реалий [Гукосьянц, 2023; Кравчук, Зайцева, Сычева, 2024], что подтверждает неизменную семиотическую продуктивность феномена эрративизации. Так, среди новообразований, обозначающих понятия, связанные со специальной военной операцией, исследователи выделяют несколько эрративных единиц: «</w:t>
      </w:r>
      <w:r>
        <w:rPr>
          <w:rFonts w:ascii="Times New Roman" w:hAnsi="Times New Roman"/>
          <w:b/>
          <w:bCs/>
          <w:sz w:val="28"/>
          <w:szCs w:val="28"/>
        </w:rPr>
        <w:t>ЫЛИТА – (элита, элитка)</w:t>
      </w:r>
      <w:r>
        <w:rPr>
          <w:rFonts w:ascii="Times New Roman" w:hAnsi="Times New Roman"/>
          <w:sz w:val="28"/>
          <w:szCs w:val="28"/>
        </w:rPr>
        <w:t xml:space="preserve"> – то же самое, что и релокант – это уехавшие из страны в начале СВО деятели культуры и искусства,  &lt;…&gt;показатель преуменьшения, а, следовательно, и пренебрежения в данном примере). ВКонтакте: </w:t>
      </w:r>
      <w:r>
        <w:rPr>
          <w:rFonts w:ascii="Times New Roman" w:hAnsi="Times New Roman"/>
          <w:i/>
          <w:iCs/>
          <w:sz w:val="28"/>
          <w:szCs w:val="28"/>
        </w:rPr>
        <w:t xml:space="preserve">Очень надеюсь, вдруг случится </w:t>
      </w:r>
      <w:r>
        <w:rPr>
          <w:rFonts w:ascii="Times New Roman" w:hAnsi="Times New Roman"/>
          <w:i/>
          <w:iCs/>
          <w:sz w:val="28"/>
          <w:szCs w:val="28"/>
        </w:rPr>
        <w:lastRenderedPageBreak/>
        <w:t>Новогоднее чудо и уберут с Рождественских огоньков эту Ылиту...</w:t>
      </w:r>
      <w:r>
        <w:rPr>
          <w:rFonts w:ascii="Times New Roman" w:hAnsi="Times New Roman"/>
          <w:sz w:val="28"/>
          <w:szCs w:val="28"/>
        </w:rPr>
        <w:t>» [Кравчук, Зайцева, Сычева, 2024, с. 3].</w:t>
      </w:r>
    </w:p>
    <w:p w14:paraId="091431BD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Эрративы могут возникать в отдельных сообществах, впоследствии имея возможность закрепиться в соответствующем социолекте. Анализируя средства выражения иронии в русскоязычных </w:t>
      </w:r>
      <w:r>
        <w:rPr>
          <w:rFonts w:ascii="Times New Roman" w:hAnsi="Times New Roman"/>
          <w:sz w:val="28"/>
          <w:szCs w:val="28"/>
          <w:lang w:val="en-US"/>
        </w:rPr>
        <w:t>IT</w:t>
      </w:r>
      <w:r>
        <w:rPr>
          <w:rFonts w:ascii="Times New Roman" w:hAnsi="Times New Roman"/>
          <w:sz w:val="28"/>
          <w:szCs w:val="28"/>
        </w:rPr>
        <w:t>-сообществах, И. А. Акулович выделяет среди таких средств эрративизацию: «</w:t>
      </w:r>
      <w:r>
        <w:rPr>
          <w:rFonts w:ascii="Times New Roman" w:hAnsi="Times New Roman"/>
          <w:i/>
          <w:iCs/>
          <w:sz w:val="28"/>
          <w:szCs w:val="28"/>
        </w:rPr>
        <w:t xml:space="preserve">Рендер вообще отдельная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опасТность</w:t>
      </w:r>
      <w:r>
        <w:rPr>
          <w:rFonts w:ascii="Times New Roman" w:hAnsi="Times New Roman"/>
          <w:sz w:val="28"/>
          <w:szCs w:val="28"/>
        </w:rPr>
        <w:t>. Слово “опасность”, написанное с ошибкой, намекает на несерьезный характер этой опасности, которая ничем на самом-то деле не угрожает, но тем не менее составляет значительное неудобство для пользователя, из-за чего ее нельзя совсем не принимать в расчет» [Акулович, 2025, с. 31].</w:t>
      </w:r>
    </w:p>
    <w:p w14:paraId="66C4D276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эрративы становятся одним из основных выразительных средств в мемах – одном из популярнейших жанров интернет-творчества [Петрова, Николаева, 2023; Корниюк, 2023а; Щур, 2023а</w:t>
      </w:r>
      <w:r w:rsidRPr="002B6B77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Терентьева, 2025</w:t>
      </w:r>
      <w:r w:rsidRPr="000D0F2C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Цицкун, Корниюк, 2025]. Такой продуктивный синтез объясняется двумя причинами: «Во-первых, оба явления есть порождение веб-среды. Во-вторых, в мемах с помощью эрративов (за счет сочетания антинормированного текстового материала и экспрессивно-окрашенного изображения) осуществляется гиперболизация словесного образа, закладываемого в медиаединице для передачи конкретной культурной и/или социальной информации. Мем, </w:t>
      </w:r>
      <w:r w:rsidRPr="0024372D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заряженный</w:t>
      </w:r>
      <w:r w:rsidRPr="0024372D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 xml:space="preserve"> эрративом, выполняет сразу несколько функций – информирования, трансляции, репрезентации, не говоря уже об эмоциональной, комической и фатической функциях» [Цицкун, Корниюк, 2023, с. 147]. </w:t>
      </w:r>
    </w:p>
    <w:p w14:paraId="27CAD88D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Интересным образом функционал эрративов преломляется в составе тематических мемов, выражающих определённую идею, например в экологических мемах, нацеленных на формирование ответственности за состояние окружающей среды: «В популярном меме с помощью ключевого слова-эрратива </w:t>
      </w:r>
      <w:r>
        <w:rPr>
          <w:rFonts w:ascii="Times New Roman" w:hAnsi="Times New Roman"/>
          <w:i/>
          <w:iCs/>
          <w:sz w:val="28"/>
          <w:szCs w:val="28"/>
        </w:rPr>
        <w:t>эколаг</w:t>
      </w:r>
      <w:r>
        <w:rPr>
          <w:rFonts w:ascii="Times New Roman" w:hAnsi="Times New Roman"/>
          <w:sz w:val="28"/>
          <w:szCs w:val="28"/>
        </w:rPr>
        <w:t xml:space="preserve"> акцентируется мысль об абсурдности многих экологических акций (отказаться от пластиковых соломинок, но использовать </w:t>
      </w:r>
      <w:r>
        <w:rPr>
          <w:rFonts w:ascii="Times New Roman" w:hAnsi="Times New Roman"/>
          <w:sz w:val="28"/>
          <w:szCs w:val="28"/>
        </w:rPr>
        <w:lastRenderedPageBreak/>
        <w:t>при этом пластиковые стаканчики; организовать раздельный сбор мусора и собрать его затем в одном месте). Использование эрратива рассчитано на эмоциональную реакцию адресата, который должен уловить иронию и выбрать действительно проэкологичные модели поведения». [Терентьева, 2025, с. 357].</w:t>
      </w:r>
    </w:p>
    <w:p w14:paraId="2BE27157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Задействуются эрративы и в видеороликах, особенно в коротком контенте, который часто сопровождается печатным текстом для одновременного воздействия на несколько каналов восприятия информации: «В качестве актуальных особенностей коммуникации в TikTok можно выделить умышленные фонетические, графические, пунктуационные искажения текста. Пользователи стремятся к созданию юмористического эффекта и выходу из строгих рамок повседневной нецифровой реальности. Осознавая себя другой личностью в сети, многие пользователи меняют голос и кривляются, что также влечет за собой искажение текста» [Бараненко, Завтрикова, 2022, с. 98].</w:t>
      </w:r>
    </w:p>
    <w:p w14:paraId="2922E176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Примечателен также тот факт, что эрративы остаются распространённым выразительным средством в блогах, которые традиционно считаются исходной сферой употребления эрративных единиц. Описывая лингвистические особенности современных блогов, Э. В. Радыгина заключает: «Для привлечения внимания к освещаемому материалу в блоге, а также с целью передачи эмоций или своего отношения в качестве проявления креативности автор блога часто употребляет эрративы» [Радыгина, 2025, с. 76].</w:t>
      </w:r>
    </w:p>
    <w:p w14:paraId="3A3030F4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Эрратография сохраняет актуальность и в иноязычной речевой культуре: «С началом распространения мессенджеров на смартфонах, в частности, мессенджеров социальных сетей, позволяющих осуществлять набор текста в более комфортном формате, язык SMS не исчез и продолжает активно использоваться в подростково-молодежной среде, в частности, в англоязычных и франкоязычных странах» [Солнцева, 2023, с. 180]. Исследователи, изучающие интернет-коммуникацию на иностранных языках, </w:t>
      </w:r>
      <w:r>
        <w:rPr>
          <w:rFonts w:ascii="Times New Roman" w:hAnsi="Times New Roman"/>
          <w:sz w:val="28"/>
          <w:szCs w:val="28"/>
        </w:rPr>
        <w:lastRenderedPageBreak/>
        <w:t>называют эрративизацию в числе основных семиотических приёмов современного неофициального общения в сети, проводя параллели с русскоязычной речевой практикой [Долгова, 2024; Пушкаренко, 2024; Хакиева, 2024; Лыкова, 2025].</w:t>
      </w:r>
    </w:p>
    <w:p w14:paraId="65D2C63F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развитием и расширением сферы использования интернет-коммуникации эрративы начинают проникать в другие сферы употребления письменной речи. Широкое распространение эрратография получает в рекламных текстах, в первую очередь благодаря прецедентности ненормативного графического образа и, как следствие, его способности создавать вирусный эффект [Каткова, 2022; Аниконова, 2024; Бурлакова, 2024; Тарасова, 2024, Перевалов, 2025]. В. П. Каткова так определяет основное маркетинговое преимущество эрративных единиц: «С помощью эрративов, которые используются в рекламном тексте, реализуется основная функция рекламного текста – привлечение потенциальных покупателей. Эрратив добавляет эмоциональности рекламному тексту. Такой рекламный текст становится более эффективным, формирует ряд образов, вызывает ассоциации, эмоциональные реакции и т. д.» [Каткова, 2022, с. 27].</w:t>
      </w:r>
    </w:p>
    <w:p w14:paraId="620C5546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Эрративы всё чаще используются в средствах массовой информации, в том числе на телевидении. М. С. Тарасова объясняет это тем же имманентным свойством эрративных единиц привлекать и удерживать внимание адресата: «Языковая креативность, использование таких средств, как игремы, эрративы и онамотопы, позволяют создавать лаконичные и неформальные медиатексты, обладающие высоким уровнем выразительности и воздействия на аудиторию» [Тарасова, 2024, с. 39]. Эрративы задействуются и в развлекательном поле медиапространства, например в названии выпусков юмористического шоу «Уральские пельмени», где анализируемые единицы комбинируются с другими выразительными средствами для достижения комического эффекта и отсылки к известным культурным явлениям: «Большая часть названий передач юмористического шоу “Уральские пельмени” представлена модифицированными идиомами, обычно в сочетании с созвучием с </w:t>
      </w:r>
      <w:r>
        <w:rPr>
          <w:rFonts w:ascii="Times New Roman" w:hAnsi="Times New Roman"/>
          <w:sz w:val="28"/>
          <w:szCs w:val="28"/>
        </w:rPr>
        <w:lastRenderedPageBreak/>
        <w:t>компонентом исходной идиомы; реже – в сочетании с лексической контаминацией (или лексическая контаминация в чистом виде) и эрративом» [Цыганова, 2022, с. 61].</w:t>
      </w:r>
    </w:p>
    <w:p w14:paraId="0E3037F9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эрративы встречаются в литературных произведениях, причём не только в современных, но и в классических [Кочетков, Соколов, 2014; Филимоненков, 2023; Альгина, 2024; Суркова, Зотова, 2024; Чернова, 2025]. В текстах прошлых веков данные единицы обычно служат для передачи индивидуальной манеры речи, особенностей произношения персонажей: «В текстах Островского эрративы выполняют в основном функцию фонетического письма, фиксации старомосковского просторечия, хотя иногда при помощи эрративных написаний иноязычных лексем Островский отражает особенности южных говоров или использует их в той функции, в которой они используются и сейчас – для языковой игры» [Кочетков, Соколов, 2014, с. 1321]. Показательно и то, что, согласно сделанному авторами выводу, функция языковой игры была свойственна эрративам и раньше, задолго до существования интернет-коммуникации. </w:t>
      </w:r>
    </w:p>
    <w:p w14:paraId="6AE00141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этим особый интерес представляет заключение, к которому приходит Е. А. Щур при изучении феномена эрратографии в разные периоды истории русского письма: «На всех этапах становления и развития орфографической и графической системы русского языка наблюдались явления умышленного изменения написания слов. И элементы древнерусской тайнописи, и современные эрративы выполняют художественно-выразительную функцию и используются для привлечения внимания и развлечения читателя» [Щур, 2023б, с. 196]. По мнению исследователя, популярность эрративов в эпоху интернета обусловлена тем, что «подобные способы изменения обычных начертаний слов до сих пор остаются в подсознании современного человека» [Там же, с. 194]. </w:t>
      </w:r>
    </w:p>
    <w:p w14:paraId="2E9D047D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Мы хотели бы предложить ещё одно объяснение такой преемственности эрративных единиц. Независимо от исторического периода и уровня развития технологий, пишущему свойственно испытывать потребность в расширении </w:t>
      </w:r>
      <w:r>
        <w:rPr>
          <w:rFonts w:ascii="Times New Roman" w:hAnsi="Times New Roman"/>
          <w:sz w:val="28"/>
          <w:szCs w:val="28"/>
        </w:rPr>
        <w:lastRenderedPageBreak/>
        <w:t xml:space="preserve">функциональности письменной речи, так как графические средства неспособны полностью заместить лингвистические и экстралингвистические элементы полноценной устной коммуникации. Стремясь компенсировать эту неполноту, пишущий создаёт новые графические знаки или адаптирует существующие. Одним из способов такой адаптации и является эрративизация, для которой интернет с его преимущественно письменной формой общения и свободой самовыражения становится скорее плодотворной почвой, нежели основным условием существования (подробнее о роли эрративах в истории письма см. главу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 w:rsidRPr="0024372D">
        <w:rPr>
          <w:rFonts w:ascii="Times New Roman" w:hAnsi="Times New Roman"/>
          <w:sz w:val="28"/>
          <w:szCs w:val="28"/>
        </w:rPr>
        <w:t>, §</w:t>
      </w:r>
      <w:r>
        <w:rPr>
          <w:rFonts w:ascii="Times New Roman" w:hAnsi="Times New Roman"/>
          <w:sz w:val="28"/>
          <w:szCs w:val="28"/>
        </w:rPr>
        <w:t> 1).</w:t>
      </w:r>
    </w:p>
    <w:p w14:paraId="58C1FC36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же касается современных литературных произведений, то эрративные единицы в них в основном реализуют «экспрессивно-изобразительную и комическую функцию» [Суркова, Зотова, 2024, с. 150], что вполне соответствует практике употребления эрративов в неофициальном общении в интернете. Кроме того, эрративизация в художественном тексте может служить своеобразным маркером времени и свойственных ему языковых и социокультурных явлений: «Нередко авторы используют уже существующие феномены речи того или иного языка в своих произведениях, в результате чего отражается речевая характеристика той или иной эпохи. Так, например, произошло с “олбанским языком”, который появился в самом начале 21-го века и был использован в романе Т. Толстой “Кысь”» [Альгина, 2024, с. 122].</w:t>
      </w:r>
    </w:p>
    <w:p w14:paraId="24F5846D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менее распространены эрративы и в фанфиках – любительских художественных текстах, которые фанаты пишут на основе своих любимых произведений: «Эрративы позволяют придавать лексемам коннотацию, чаще всего ироническую. Так как посетители платформы Фикбук часто эмоционируют, то такие лексемы помогают выразить им свою позицию и настроение» [Сычева, 2023, с. 152].</w:t>
      </w:r>
    </w:p>
    <w:p w14:paraId="79E61725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Наряду с частными функциями эрративных единиц в разных сферах употребления выявляются и более глобальные, характерные не столько для отдельных единиц в отдельных контекстах, сколько для феномена </w:t>
      </w:r>
      <w:r>
        <w:rPr>
          <w:rFonts w:ascii="Times New Roman" w:hAnsi="Times New Roman"/>
          <w:sz w:val="28"/>
          <w:szCs w:val="28"/>
        </w:rPr>
        <w:lastRenderedPageBreak/>
        <w:t>эрративизации в целом [Островерхова, 2017; Бунаева, 2020; Щур, 2020; Хнаева, Бец, 2022; Гукова, 2025]. Так, А. П. Островерхова пишет о социальной значимости эрративов, в культуре употребления которых автор видит «не просто лексико-грамматический феномен, а язык, осложнённый своей социокультурной идеей. Он существует не столько для того, чтобы упростить общение в чатах и на форумах, сколько для того, чтобы сплотить тысячи участников данного сообщества» [Островерхова, 2017, с. 49</w:t>
      </w:r>
      <w:r>
        <w:rPr>
          <w:rFonts w:ascii="Times New Roman" w:hAnsi="Times New Roman"/>
          <w:sz w:val="28"/>
          <w:szCs w:val="28"/>
        </w:rPr>
        <w:softHyphen/>
      </w:r>
      <w:r w:rsidRPr="007B1F32">
        <w:rPr>
          <w:rFonts w:ascii="Times New Roman" w:hAnsi="Times New Roman"/>
          <w:color w:val="FF0000"/>
          <w:sz w:val="28"/>
          <w:szCs w:val="28"/>
        </w:rPr>
        <w:t>-</w:t>
      </w:r>
      <w:r w:rsidRPr="007B1F32">
        <w:rPr>
          <w:rFonts w:ascii="Times New Roman" w:hAnsi="Times New Roman"/>
          <w:color w:val="FF0000"/>
          <w:sz w:val="28"/>
          <w:szCs w:val="28"/>
        </w:rPr>
        <w:softHyphen/>
        <w:t>50</w:t>
      </w:r>
      <w:r>
        <w:rPr>
          <w:rFonts w:ascii="Times New Roman" w:hAnsi="Times New Roman"/>
          <w:sz w:val="28"/>
          <w:szCs w:val="28"/>
        </w:rPr>
        <w:t xml:space="preserve">]. </w:t>
      </w:r>
    </w:p>
    <w:p w14:paraId="0B12E693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большой интерес к функциональной составляющей эрративов, их формальная сторона остаётся довольно малоизученной: в большинстве работ ненормативность соответствующих единиц констатируется как однородный в своих проявлениях факт, и только некоторые исследования предлагают свою концепцию формальной классификации эрративов </w:t>
      </w:r>
      <w:r w:rsidRPr="00357A13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Карнуп, 2014</w:t>
      </w:r>
      <w:r w:rsidRPr="00357A13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Корниюк, 2023б</w:t>
      </w:r>
      <w:r w:rsidRPr="00357A13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Цицкун, Корниюк, 2025</w:t>
      </w:r>
      <w:r w:rsidRPr="00357A13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 В наиболее подробной из этих классификаций выделяются графико-фонетический структурный тип, основанный на изменении написания при сохранении ориентации на точное отражение звучания, графический тип, не учитывающий фонетический облик слова, и грамматический тип, который позволяет графически фиксировать намеренные морфологические искажения [Цицкун, Корниюк, 2025]. Отметим, однако, что выделение грамматического типа выносит понятие эрратива за пределы взаимодействия фонетической и графической систем и тем самым размывает его границы, создавая прецедент для отнесения к эрративам любых зафиксированных в письменной речи фактов намеренного несоблюдения литературной нормы. Кроме того, сложно согласиться с утверждением, что выделяемый авторами графический тип вовсе не берёт во внимание произношение слова</w:t>
      </w:r>
      <w:r w:rsidRPr="00763B03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в примере из статьи – </w:t>
      </w:r>
      <w:r>
        <w:rPr>
          <w:rFonts w:ascii="Times New Roman" w:hAnsi="Times New Roman"/>
          <w:i/>
          <w:iCs/>
          <w:sz w:val="28"/>
          <w:szCs w:val="28"/>
        </w:rPr>
        <w:t>з дравствуйте</w:t>
      </w:r>
      <w:r>
        <w:rPr>
          <w:rFonts w:ascii="Times New Roman" w:hAnsi="Times New Roman"/>
          <w:sz w:val="28"/>
          <w:szCs w:val="28"/>
        </w:rPr>
        <w:t xml:space="preserve"> – итоговый эрративный образ по своему звуковому значению вполне соответствует нормативному фонетическому облику слова, добавляя лишь нетипичную паузу.</w:t>
      </w:r>
    </w:p>
    <w:p w14:paraId="6F2439E4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 или иначе, во всех проанализированных работах классификация осуществляется только на самом общем уровне, при этом конкретные способы </w:t>
      </w:r>
      <w:r>
        <w:rPr>
          <w:rFonts w:ascii="Times New Roman" w:hAnsi="Times New Roman"/>
          <w:sz w:val="28"/>
          <w:szCs w:val="28"/>
        </w:rPr>
        <w:lastRenderedPageBreak/>
        <w:t>эрративизации, которыми пользуются пишущие в рамках той или иной разновидности эрративов, обычно остаются либо неописанными, либо представленными неполно. Таким образом, учитывая малочисленность и дискуссионность посвящённых данному вопросу исследований, мы можем констатировать необходимость уточнения и углубления представления о способах образования эрративных единиц.</w:t>
      </w:r>
    </w:p>
    <w:p w14:paraId="5BCDCB46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точки зрения классификации и каталогизации большой интерес также представляет инициатива Д. Д. Корниюк и В. В. Цицкун по созданию электронного словаря эрративов, соавторами которого выступили бы сами интернет-пользователи: «Его концепт построен на принципе англоязычного онлайн-словаря сленговых слов и фраз Urban Dictionary, основанного на программном обеспечении веб-сайта, контент которого формируется самими пользователями» [Корниюк, Цицкун, 2026, с. 94].  Авторы предлагают следующую процедуру пополнения словаря новыми единицами: «Пользователь, нашедший или создавший свой эрратив, добавляет слово в систему, после чего получает уведомление о наличии/отсутствии его в лингвистической базе словаря. Если эрратив отсутствует в базе, пользователь может заполнить электронную форму, в которой он указывает вводимую эрративную конструкцию, даёт ей толкование в свободной форме, прикрепляя текстовую и/или визуальную иллюстрацию из информационного источника. Лексикографический материал после данной фазы проверяется специалистами и вносится в базу словаря» [Там же, с. 95–96]. </w:t>
      </w:r>
    </w:p>
    <w:p w14:paraId="00FC288E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Существование такого источника действительно способствовало бы дальнейшему изучению эрративов и интернет-коммуникации в целом, расширив объём анализируемого материала и существенно упростив процесс его сбора. Безусловно поддерживая данную идею, всё же считаем необходимым высказать принципиальное замечание. Если в работе над словарём значительная роль будет отведена экспертному редактированию составленных пользователями анкет, что очевидно из приведённых авторами примеров, то уже на этапе проектирования возникает ряд испытаний. Так, </w:t>
      </w:r>
      <w:r>
        <w:rPr>
          <w:rFonts w:ascii="Times New Roman" w:hAnsi="Times New Roman"/>
          <w:sz w:val="28"/>
          <w:szCs w:val="28"/>
        </w:rPr>
        <w:lastRenderedPageBreak/>
        <w:t>созданию электронного ресурса должна предшествовать масштабная работа по определению ключевых формальных и содержательных свойств, которые должны быть отражены в описании каждой эрративной единицы, а также по разработке метаязыка для такого описания. Имея в виду практическую ценность данного проекта в качестве своеобразной базы данных и источника материала для будущих исследований, как представляется, стоит минимизировать роль экспертной обработки пользовательского описания: это позволит избежать внутренних противоречий в концепции электронного словаря и колоссальных трудностей на всех этапах его реализации.</w:t>
      </w:r>
    </w:p>
    <w:p w14:paraId="64AC872E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последние годы постепенная утрата эрративами статуса коммуникативной и семиотической сенсации и частичный или полный выход из употребления наиболее узнаваемых единиц, запомнившихся широкой общественности (</w:t>
      </w:r>
      <w:r>
        <w:rPr>
          <w:rFonts w:ascii="Times New Roman" w:hAnsi="Times New Roman"/>
          <w:i/>
          <w:iCs/>
          <w:sz w:val="28"/>
          <w:szCs w:val="28"/>
        </w:rPr>
        <w:t>превед медвед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/>
          <w:iCs/>
          <w:sz w:val="28"/>
          <w:szCs w:val="28"/>
        </w:rPr>
        <w:t>аффтар жжот</w:t>
      </w:r>
      <w:r>
        <w:rPr>
          <w:rFonts w:ascii="Times New Roman" w:hAnsi="Times New Roman"/>
          <w:sz w:val="28"/>
          <w:szCs w:val="28"/>
        </w:rPr>
        <w:t xml:space="preserve"> и т. п.), привели к снижению научного интереса к эрративам. Отдельные единицы и резонансные явления, связанные с феноменом эрратографии, действительно подвержены влиянию моды: они быстро распространяются и в большинстве случаев так же быстро забываются, выходят из информационного поля, так как имеют своеобразный семиотический «срок годности». Из-за этого может показаться, что эрративы – преходящее явление на исходе своей популярности. Однако как показал представленный выше обзор, современные исследования, регулярно обнаруживая эрративы в широком спектре сфер употребления письменной речи, констатируют, что эрратография всё так же свойственна неофициальной коммуникации, как и раньше, особенно в среде молодёжи, составляющей б</w:t>
      </w:r>
      <w:r>
        <w:rPr>
          <w:rFonts w:ascii="Times New Roman" w:hAnsi="Times New Roman"/>
          <w:sz w:val="28"/>
          <w:szCs w:val="28"/>
          <w:u w:val="single"/>
        </w:rPr>
        <w:t>о</w:t>
      </w:r>
      <w:r>
        <w:rPr>
          <w:rFonts w:ascii="Times New Roman" w:hAnsi="Times New Roman"/>
          <w:sz w:val="28"/>
          <w:szCs w:val="28"/>
        </w:rPr>
        <w:t>льшую часть активных пользователей интернета: «На сегодня можно сделать вывод о сохранении некоторой степени эрративизации в общении современного молодежного социума» [Пешкова, Моисеева, Титлова, 2024, с. 86].</w:t>
      </w:r>
    </w:p>
    <w:p w14:paraId="49CAE75F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то же время в научном пространстве нет целостного взгляда на эрративы как на единое семиотическое явление, вмещающее в себя всё то множество формальных и функциональных разновидностей, которое было с </w:t>
      </w:r>
      <w:r>
        <w:rPr>
          <w:rFonts w:ascii="Times New Roman" w:hAnsi="Times New Roman"/>
          <w:sz w:val="28"/>
          <w:szCs w:val="28"/>
        </w:rPr>
        <w:lastRenderedPageBreak/>
        <w:t xml:space="preserve">разной степенью полноты описано в разных источниках, в разное время и в разных аспектах. Многие научные работы завершаются констатацией необходимости более глубокого и системного изучения эрративов. Именно такой широкий подход и реализуется в настоящей диссертации. Опираясь на обширную контекстную базу исследования, охватывающую большое разнообразие эрративов, а также на многочисленные случаи их использования в других источниках, привлекаемые по мере необходимости, мы фиксируем, описываем и классифицируем эрративные единицы с целью выявить коммуникативные предпосылки и условия, предопределившие распространение феномена эрратографии в неофициальном письменном общении. </w:t>
      </w:r>
    </w:p>
    <w:p w14:paraId="081B0FE4" w14:textId="77777777" w:rsidR="00162BC5" w:rsidRDefault="00162BC5" w:rsidP="00162BC5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commentRangeStart w:id="1"/>
      <w:r>
        <w:rPr>
          <w:rFonts w:ascii="Times New Roman" w:hAnsi="Times New Roman"/>
          <w:sz w:val="28"/>
          <w:szCs w:val="28"/>
        </w:rPr>
        <w:t>Эти предпосылки и условия, отражённые в формальном и функциональном многообразии эрративов, представляют наибольший интерес для нашего исследования и напрямую связаны с его новизной, которая определяется тремя положениями. Во-первых, в тексте работы многие эрративные единицы и их функции получают научное описание впервые. Во-вторых, в диссертации представлена наиболее полная и подробная на сегодняшний день классификация эрративов и их функций, учитывающая как форму, так и содержание. Данная классификация претендует на охват всех возможных разновидностей эрративных единиц и позволяет проследить их языковую и графическую системность. В-третьих, феномен эрратографии последовательно рассматривается нами как проявление особенностей неформального общения в письменной форме, что благодаря новизне и широте данного подхода позволяет определить их фундаментальную роль в семиотическом обеспечении неофициальной коммуникации.</w:t>
      </w:r>
    </w:p>
    <w:p w14:paraId="113D5248" w14:textId="77777777" w:rsidR="009C5746" w:rsidRDefault="009C5746">
      <w:bookmarkStart w:id="2" w:name="_GoBack"/>
      <w:bookmarkEnd w:id="2"/>
      <w:commentRangeEnd w:id="1"/>
    </w:p>
    <w:sectPr w:rsidR="009C5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автор" w:date="2026-10-06T19:05:00Z" w:initials="Lа">
    <w:p w14:paraId="43522796" w14:textId="77777777" w:rsidR="00162BC5" w:rsidRDefault="00162BC5" w:rsidP="00162BC5">
      <w:pPr>
        <w:pStyle w:val="a7"/>
      </w:pPr>
      <w:r>
        <w:rPr>
          <w:rStyle w:val="a8"/>
        </w:rPr>
        <w:annotationRef/>
      </w:r>
      <w:r>
        <w:t>абзац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3522796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557DB" w14:textId="77777777" w:rsidR="00CC64B9" w:rsidRDefault="00CC64B9" w:rsidP="00162BC5">
      <w:pPr>
        <w:spacing w:after="0" w:line="240" w:lineRule="auto"/>
      </w:pPr>
      <w:r>
        <w:separator/>
      </w:r>
    </w:p>
  </w:endnote>
  <w:endnote w:type="continuationSeparator" w:id="0">
    <w:p w14:paraId="5D49F6D3" w14:textId="77777777" w:rsidR="00CC64B9" w:rsidRDefault="00CC64B9" w:rsidP="0016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21D5C" w14:textId="77777777" w:rsidR="00CC64B9" w:rsidRDefault="00CC64B9" w:rsidP="00162BC5">
      <w:pPr>
        <w:spacing w:after="0" w:line="240" w:lineRule="auto"/>
      </w:pPr>
      <w:r>
        <w:separator/>
      </w:r>
    </w:p>
  </w:footnote>
  <w:footnote w:type="continuationSeparator" w:id="0">
    <w:p w14:paraId="06E2D4F8" w14:textId="77777777" w:rsidR="00CC64B9" w:rsidRDefault="00CC64B9" w:rsidP="00162BC5">
      <w:pPr>
        <w:spacing w:after="0" w:line="240" w:lineRule="auto"/>
      </w:pPr>
      <w:r>
        <w:continuationSeparator/>
      </w:r>
    </w:p>
  </w:footnote>
  <w:footnote w:id="1">
    <w:p w14:paraId="09A77185" w14:textId="77777777" w:rsidR="00162BC5" w:rsidRDefault="00162BC5" w:rsidP="00162BC5">
      <w:pPr>
        <w:pStyle w:val="a3"/>
        <w:spacing w:line="360" w:lineRule="auto"/>
        <w:jc w:val="both"/>
      </w:pPr>
      <w:r>
        <w:rPr>
          <w:rStyle w:val="a5"/>
          <w:sz w:val="28"/>
          <w:szCs w:val="28"/>
        </w:rPr>
        <w:footnoteRef/>
      </w:r>
      <w:r>
        <w:rPr>
          <w:rFonts w:ascii="Times New Roman" w:hAnsi="Times New Roman"/>
          <w:sz w:val="28"/>
          <w:szCs w:val="28"/>
        </w:rPr>
        <w:t xml:space="preserve"> Следует отметить, что Г. Ч. Гусейнов и раньше проявлял научный интерес к специфическим средствам онлайн-коммуникации [Заметки к антропологии … ; 2000], однако только в работе 2005 года были сформулированы основные положения, касающиеся намеренного использования некодифицированных написаний в интернет-общении, и введён термин для их обозначения.</w:t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автор">
    <w15:presenceInfo w15:providerId="None" w15:userId="автор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C21"/>
    <w:rsid w:val="00162BC5"/>
    <w:rsid w:val="003E2C21"/>
    <w:rsid w:val="009C5746"/>
    <w:rsid w:val="00CC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4CB26"/>
  <w15:chartTrackingRefBased/>
  <w15:docId w15:val="{30C2FDB1-DA66-406B-AFAC-1B8F1D6D5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B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162BC5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162BC5"/>
    <w:rPr>
      <w:rFonts w:eastAsia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62BC5"/>
    <w:rPr>
      <w:rFonts w:cs="Times New Roman"/>
      <w:vertAlign w:val="superscript"/>
    </w:rPr>
  </w:style>
  <w:style w:type="character" w:customStyle="1" w:styleId="a6">
    <w:name w:val="Текст примечания Знак"/>
    <w:basedOn w:val="a0"/>
    <w:link w:val="a7"/>
    <w:uiPriority w:val="99"/>
    <w:rsid w:val="00162BC5"/>
    <w:rPr>
      <w:rFonts w:eastAsia="Times New Roman" w:cs="Times New Roman"/>
      <w:sz w:val="20"/>
      <w:szCs w:val="20"/>
    </w:rPr>
  </w:style>
  <w:style w:type="paragraph" w:styleId="a7">
    <w:name w:val="annotation text"/>
    <w:basedOn w:val="a"/>
    <w:link w:val="a6"/>
    <w:uiPriority w:val="99"/>
    <w:unhideWhenUsed/>
    <w:rsid w:val="00162BC5"/>
    <w:pPr>
      <w:spacing w:line="240" w:lineRule="auto"/>
    </w:pPr>
    <w:rPr>
      <w:rFonts w:eastAsia="Times New Roman" w:cs="Times New Roman"/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sid w:val="00162BC5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162BC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4555</Words>
  <Characters>25966</Characters>
  <Application>Microsoft Office Word</Application>
  <DocSecurity>0</DocSecurity>
  <Lines>216</Lines>
  <Paragraphs>60</Paragraphs>
  <ScaleCrop>false</ScaleCrop>
  <Company/>
  <LinksUpToDate>false</LinksUpToDate>
  <CharactersWithSpaces>30461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автор</cp:lastModifiedBy>
  <cp:revision>2</cp:revision>
  <dcterms:created xsi:type="dcterms:W3CDTF">2026-10-09T03:50:00Z</dcterms:created>
  <dcterms:modified xsi:type="dcterms:W3CDTF">2026-10-09T03:51:00Z</dcterms:modified>
</cp:coreProperties>
</file>