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4DB" w:rsidRPr="005674DB" w:rsidRDefault="005674DB" w:rsidP="005674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74DB">
        <w:rPr>
          <w:rFonts w:ascii="Times New Roman" w:hAnsi="Times New Roman" w:cs="Times New Roman"/>
          <w:b/>
          <w:sz w:val="24"/>
          <w:szCs w:val="24"/>
        </w:rPr>
        <w:t>Какой вид цитирования используется?</w:t>
      </w:r>
    </w:p>
    <w:p w:rsidR="005674DB" w:rsidRPr="005674DB" w:rsidRDefault="005674DB" w:rsidP="005674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74DB">
        <w:rPr>
          <w:rFonts w:ascii="Times New Roman" w:hAnsi="Times New Roman" w:cs="Times New Roman"/>
          <w:b/>
          <w:sz w:val="24"/>
          <w:szCs w:val="24"/>
        </w:rPr>
        <w:t>Каким образом цитата вводится в текст работы?</w:t>
      </w:r>
    </w:p>
    <w:p w:rsidR="005674DB" w:rsidRPr="005674DB" w:rsidRDefault="005674DB" w:rsidP="005674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74DB">
        <w:rPr>
          <w:rFonts w:ascii="Times New Roman" w:hAnsi="Times New Roman" w:cs="Times New Roman"/>
          <w:b/>
          <w:sz w:val="24"/>
          <w:szCs w:val="24"/>
        </w:rPr>
        <w:t>Как про</w:t>
      </w:r>
      <w:r>
        <w:rPr>
          <w:rFonts w:ascii="Times New Roman" w:hAnsi="Times New Roman" w:cs="Times New Roman"/>
          <w:b/>
          <w:sz w:val="24"/>
          <w:szCs w:val="24"/>
        </w:rPr>
        <w:t>яв</w:t>
      </w:r>
      <w:r w:rsidRPr="005674DB">
        <w:rPr>
          <w:rFonts w:ascii="Times New Roman" w:hAnsi="Times New Roman" w:cs="Times New Roman"/>
          <w:b/>
          <w:sz w:val="24"/>
          <w:szCs w:val="24"/>
        </w:rPr>
        <w:t>л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5674DB">
        <w:rPr>
          <w:rFonts w:ascii="Times New Roman" w:hAnsi="Times New Roman" w:cs="Times New Roman"/>
          <w:b/>
          <w:sz w:val="24"/>
          <w:szCs w:val="24"/>
        </w:rPr>
        <w:t xml:space="preserve">ется </w:t>
      </w:r>
      <w:proofErr w:type="spellStart"/>
      <w:r w:rsidRPr="005674DB">
        <w:rPr>
          <w:rFonts w:ascii="Times New Roman" w:hAnsi="Times New Roman" w:cs="Times New Roman"/>
          <w:b/>
          <w:sz w:val="24"/>
          <w:szCs w:val="24"/>
        </w:rPr>
        <w:t>авторизованность</w:t>
      </w:r>
      <w:proofErr w:type="spellEnd"/>
      <w:r w:rsidRPr="005674DB">
        <w:rPr>
          <w:rFonts w:ascii="Times New Roman" w:hAnsi="Times New Roman" w:cs="Times New Roman"/>
          <w:b/>
          <w:sz w:val="24"/>
          <w:szCs w:val="24"/>
        </w:rPr>
        <w:t>?</w:t>
      </w:r>
    </w:p>
    <w:p w:rsidR="005674DB" w:rsidRPr="005674DB" w:rsidRDefault="005674DB" w:rsidP="005674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74DB">
        <w:rPr>
          <w:rFonts w:ascii="Times New Roman" w:hAnsi="Times New Roman" w:cs="Times New Roman"/>
          <w:b/>
          <w:sz w:val="24"/>
          <w:szCs w:val="24"/>
        </w:rPr>
        <w:t>Как оформлена цитата?</w:t>
      </w:r>
    </w:p>
    <w:p w:rsidR="005674DB" w:rsidRPr="005674DB" w:rsidRDefault="005674DB" w:rsidP="005674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74DB" w:rsidRDefault="005674DB" w:rsidP="00567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4DB">
        <w:rPr>
          <w:rFonts w:ascii="Times New Roman" w:hAnsi="Times New Roman" w:cs="Times New Roman"/>
          <w:sz w:val="24"/>
          <w:szCs w:val="24"/>
        </w:rPr>
        <w:t>В грамматике русского языка представляет интерес феномен проницаемости границ между качественными и относительными прилагательными. Известно, что «во всех относительных прилагательных потенциально заложен оттенок качественности, который часто раскрывается и развивается в серию самостоятельных значений» [Виноградов, 1972, с. 170]; «это “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окачествление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>” значений, по-видимому, является распространенным процессом и как процесс являет нам ЛСВ, находящиеся на разных этапах пути к качественным значениям» [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Шрамм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>, 1979, с. 126].</w:t>
      </w:r>
    </w:p>
    <w:p w:rsidR="005674DB" w:rsidRPr="005674DB" w:rsidRDefault="005674DB" w:rsidP="00567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74DB" w:rsidRPr="005674DB" w:rsidRDefault="005674DB" w:rsidP="00567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4DB">
        <w:rPr>
          <w:rFonts w:ascii="Times New Roman" w:hAnsi="Times New Roman" w:cs="Times New Roman"/>
          <w:sz w:val="24"/>
          <w:szCs w:val="24"/>
        </w:rPr>
        <w:t xml:space="preserve">Итак, мы увидели, что при функционировании в составе атрибутивного словосочетания именно пространственные отношения, обозначенные в относительном прилагательном как </w:t>
      </w:r>
      <w:r w:rsidRPr="005674DB">
        <w:rPr>
          <w:rFonts w:ascii="Times New Roman" w:hAnsi="Times New Roman" w:cs="Times New Roman"/>
          <w:b/>
          <w:sz w:val="24"/>
          <w:szCs w:val="24"/>
        </w:rPr>
        <w:t>типические</w:t>
      </w:r>
      <w:r w:rsidRPr="005674DB">
        <w:rPr>
          <w:rFonts w:ascii="Times New Roman" w:hAnsi="Times New Roman" w:cs="Times New Roman"/>
          <w:sz w:val="24"/>
          <w:szCs w:val="24"/>
        </w:rPr>
        <w:t xml:space="preserve"> для данной группы предметов, становятся основой для формирования качественной семантики 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адъективов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 xml:space="preserve">, «фиксирующих в 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референтной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 xml:space="preserve"> действительности все наиболее 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массовидное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 xml:space="preserve"> и релевантное относительно социокультурной практики носителей языка» [</w:t>
      </w:r>
      <w:proofErr w:type="spellStart"/>
      <w:proofErr w:type="gramStart"/>
      <w:r w:rsidRPr="005674DB">
        <w:rPr>
          <w:rFonts w:ascii="Times New Roman" w:hAnsi="Times New Roman" w:cs="Times New Roman"/>
          <w:sz w:val="24"/>
          <w:szCs w:val="24"/>
        </w:rPr>
        <w:t>Климовская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>,  1978</w:t>
      </w:r>
      <w:proofErr w:type="gramEnd"/>
      <w:r w:rsidRPr="005674DB">
        <w:rPr>
          <w:rFonts w:ascii="Times New Roman" w:hAnsi="Times New Roman" w:cs="Times New Roman"/>
          <w:sz w:val="24"/>
          <w:szCs w:val="24"/>
        </w:rPr>
        <w:t xml:space="preserve">, с. 26]. </w:t>
      </w:r>
    </w:p>
    <w:p w:rsidR="005674DB" w:rsidRPr="005674DB" w:rsidRDefault="005674DB" w:rsidP="00567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74DB" w:rsidRPr="005674DB" w:rsidRDefault="005674DB" w:rsidP="00567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4DB">
        <w:rPr>
          <w:rFonts w:ascii="Times New Roman" w:hAnsi="Times New Roman" w:cs="Times New Roman"/>
          <w:sz w:val="24"/>
          <w:szCs w:val="24"/>
        </w:rPr>
        <w:t>Рассмотрение описываемых прилагательных в оппозициях другого типа (</w:t>
      </w:r>
      <w:r w:rsidRPr="005674DB">
        <w:rPr>
          <w:rFonts w:ascii="Times New Roman" w:hAnsi="Times New Roman" w:cs="Times New Roman"/>
          <w:i/>
          <w:sz w:val="24"/>
          <w:szCs w:val="24"/>
        </w:rPr>
        <w:t xml:space="preserve">транспорт наземный – воздушный – подземный – </w:t>
      </w:r>
      <w:proofErr w:type="gramStart"/>
      <w:r w:rsidRPr="005674DB">
        <w:rPr>
          <w:rFonts w:ascii="Times New Roman" w:hAnsi="Times New Roman" w:cs="Times New Roman"/>
          <w:i/>
          <w:sz w:val="24"/>
          <w:szCs w:val="24"/>
        </w:rPr>
        <w:t>надводный  –</w:t>
      </w:r>
      <w:proofErr w:type="gramEnd"/>
      <w:r w:rsidRPr="005674DB">
        <w:rPr>
          <w:rFonts w:ascii="Times New Roman" w:hAnsi="Times New Roman" w:cs="Times New Roman"/>
          <w:i/>
          <w:sz w:val="24"/>
          <w:szCs w:val="24"/>
        </w:rPr>
        <w:t xml:space="preserve"> подводный; препарат накожный – подкожный – внутрикожный –  внутримышечный</w:t>
      </w:r>
      <w:r w:rsidRPr="005674DB">
        <w:rPr>
          <w:rFonts w:ascii="Times New Roman" w:hAnsi="Times New Roman" w:cs="Times New Roman"/>
          <w:sz w:val="24"/>
          <w:szCs w:val="24"/>
        </w:rPr>
        <w:t xml:space="preserve">) дает представление о классифицирующей функции таких 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адъективов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 xml:space="preserve">. Различия в локализации объектов одного вида являются средством выражения </w:t>
      </w:r>
      <w:proofErr w:type="spellStart"/>
      <w:proofErr w:type="gramStart"/>
      <w:r w:rsidRPr="005674DB">
        <w:rPr>
          <w:rFonts w:ascii="Times New Roman" w:hAnsi="Times New Roman" w:cs="Times New Roman"/>
          <w:sz w:val="24"/>
          <w:szCs w:val="24"/>
        </w:rPr>
        <w:t>родо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>-видовых</w:t>
      </w:r>
      <w:proofErr w:type="gramEnd"/>
      <w:r w:rsidRPr="005674DB">
        <w:rPr>
          <w:rFonts w:ascii="Times New Roman" w:hAnsi="Times New Roman" w:cs="Times New Roman"/>
          <w:sz w:val="24"/>
          <w:szCs w:val="24"/>
        </w:rPr>
        <w:t xml:space="preserve"> отношений. А. 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Вежбицкая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 xml:space="preserve"> указывает на разную когнитивную роль существительного и прилагательного и считает этот факт значимым критерием при определении 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частеречной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 xml:space="preserve"> принадлежности слова: «Прилагательное может ограничить область, к которой принадлежит подразумеваемый референт, и помочь идентифицировать данный референт внутри этой области, но оно не может заменить это первоначальное помещение в некоторую представимую область (в вид)» [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Вежбицкая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>, 1999, с. 107].</w:t>
      </w:r>
    </w:p>
    <w:p w:rsidR="005674DB" w:rsidRPr="005674DB" w:rsidRDefault="005674DB" w:rsidP="00567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74DB" w:rsidRPr="005674DB" w:rsidRDefault="005674DB" w:rsidP="00567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4DB">
        <w:rPr>
          <w:rFonts w:ascii="Times New Roman" w:hAnsi="Times New Roman" w:cs="Times New Roman"/>
          <w:sz w:val="24"/>
          <w:szCs w:val="24"/>
        </w:rPr>
        <w:t xml:space="preserve">Предназначенность предметов одного класса располагаться в разных частях пространства относительно разных объектов обусловливает их различия в устройстве, использованных материалах, составе, размеру, вкусу и т. п. Прилагательное оказывается способным нести эту информацию, добавляя к своему 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локативному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 xml:space="preserve"> значению смыслы, связанные с отражением этих </w:t>
      </w:r>
      <w:proofErr w:type="spellStart"/>
      <w:proofErr w:type="gramStart"/>
      <w:r w:rsidRPr="005674DB">
        <w:rPr>
          <w:rFonts w:ascii="Times New Roman" w:hAnsi="Times New Roman" w:cs="Times New Roman"/>
          <w:sz w:val="24"/>
          <w:szCs w:val="24"/>
        </w:rPr>
        <w:t>родо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>-видовых</w:t>
      </w:r>
      <w:proofErr w:type="gramEnd"/>
      <w:r w:rsidRPr="005674DB">
        <w:rPr>
          <w:rFonts w:ascii="Times New Roman" w:hAnsi="Times New Roman" w:cs="Times New Roman"/>
          <w:sz w:val="24"/>
          <w:szCs w:val="24"/>
        </w:rPr>
        <w:t xml:space="preserve"> различий. Пространственное значение прилагательного в сочетании с определенным существительным обогащается целым «признаковым комплексом» [Павлов, 1985, с. 74], совмещая значения «локализации и квалификации объекта, причем оттенок локализации может совсем ослабнуть» [Гак, 1998, с. 83]. </w:t>
      </w:r>
    </w:p>
    <w:p w:rsidR="005674DB" w:rsidRPr="005674DB" w:rsidRDefault="005674DB" w:rsidP="00567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0F27" w:rsidRPr="005674DB" w:rsidRDefault="00940F27" w:rsidP="00567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4DB">
        <w:rPr>
          <w:rFonts w:ascii="Times New Roman" w:hAnsi="Times New Roman" w:cs="Times New Roman"/>
          <w:sz w:val="24"/>
          <w:szCs w:val="24"/>
        </w:rPr>
        <w:t xml:space="preserve">В примерах 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графодеривации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 xml:space="preserve"> зачастую налицо взаимодействие лингвистического и графического компонентов: «</w:t>
      </w:r>
      <w:proofErr w:type="spellStart"/>
      <w:r w:rsidRPr="005674DB">
        <w:rPr>
          <w:rFonts w:ascii="Times New Roman" w:hAnsi="Times New Roman" w:cs="Times New Roman"/>
          <w:i/>
          <w:iCs/>
          <w:sz w:val="24"/>
          <w:szCs w:val="24"/>
        </w:rPr>
        <w:t>вКЛЮЧайся</w:t>
      </w:r>
      <w:proofErr w:type="spellEnd"/>
      <w:r w:rsidRPr="005674DB">
        <w:rPr>
          <w:rFonts w:ascii="Times New Roman" w:hAnsi="Times New Roman" w:cs="Times New Roman"/>
          <w:i/>
          <w:iCs/>
          <w:sz w:val="24"/>
          <w:szCs w:val="24"/>
        </w:rPr>
        <w:t xml:space="preserve"> в праздник</w:t>
      </w:r>
      <w:r w:rsidRPr="005674DB">
        <w:rPr>
          <w:rFonts w:ascii="Times New Roman" w:hAnsi="Times New Roman" w:cs="Times New Roman"/>
          <w:sz w:val="24"/>
          <w:szCs w:val="24"/>
        </w:rPr>
        <w:t>» [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Лунёва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>, Романенко, 2018], «</w:t>
      </w:r>
      <w:r w:rsidRPr="005674DB">
        <w:rPr>
          <w:rFonts w:ascii="Times New Roman" w:hAnsi="Times New Roman" w:cs="Times New Roman"/>
          <w:i/>
          <w:iCs/>
          <w:sz w:val="24"/>
          <w:szCs w:val="24"/>
        </w:rPr>
        <w:t xml:space="preserve">Внимание, </w:t>
      </w:r>
      <w:r w:rsidRPr="005674DB">
        <w:rPr>
          <w:rFonts w:ascii="Times New Roman" w:hAnsi="Times New Roman" w:cs="Times New Roman"/>
          <w:i/>
          <w:iCs/>
          <w:sz w:val="24"/>
          <w:szCs w:val="24"/>
          <w:lang w:val="en-US"/>
        </w:rPr>
        <w:t>SOS</w:t>
      </w:r>
      <w:proofErr w:type="spellStart"/>
      <w:r w:rsidRPr="005674DB">
        <w:rPr>
          <w:rFonts w:ascii="Times New Roman" w:hAnsi="Times New Roman" w:cs="Times New Roman"/>
          <w:i/>
          <w:iCs/>
          <w:sz w:val="24"/>
          <w:szCs w:val="24"/>
        </w:rPr>
        <w:t>ульки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>» [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Шашкова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Шоболова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>, 2015, с. 372], «</w:t>
      </w:r>
      <w:r w:rsidRPr="005674DB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proofErr w:type="spellStart"/>
      <w:r w:rsidRPr="005674DB">
        <w:rPr>
          <w:rFonts w:ascii="Times New Roman" w:hAnsi="Times New Roman" w:cs="Times New Roman"/>
          <w:i/>
          <w:iCs/>
          <w:sz w:val="24"/>
          <w:szCs w:val="24"/>
        </w:rPr>
        <w:t>арш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 xml:space="preserve">» [Чекалин, 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Тенчурина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 xml:space="preserve">, 2019]. Но корректно ли называть данные единицы новыми словами? Как представляется, первые два примера представляют собой своеобразный графический каламбур, то есть выразительное соположение двух лексических единиц, актуализируемое графическими средствами, а третий пример и вовсе не затрагивает лингвистическую составляющую (слово </w:t>
      </w:r>
      <w:r w:rsidRPr="005674DB">
        <w:rPr>
          <w:rFonts w:ascii="Times New Roman" w:hAnsi="Times New Roman" w:cs="Times New Roman"/>
          <w:i/>
          <w:iCs/>
          <w:sz w:val="24"/>
          <w:szCs w:val="24"/>
        </w:rPr>
        <w:t>фарш</w:t>
      </w:r>
      <w:r w:rsidRPr="005674DB">
        <w:rPr>
          <w:rFonts w:ascii="Times New Roman" w:hAnsi="Times New Roman" w:cs="Times New Roman"/>
          <w:sz w:val="24"/>
          <w:szCs w:val="24"/>
        </w:rPr>
        <w:t xml:space="preserve">), демонстрируя исключительно графическую трансформацию. Мы считаем, что подобные случаи 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графодеривации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 xml:space="preserve"> не относятся к сфере словообразования и потому </w:t>
      </w:r>
      <w:r w:rsidRPr="005674DB">
        <w:rPr>
          <w:rFonts w:ascii="Times New Roman" w:hAnsi="Times New Roman" w:cs="Times New Roman"/>
          <w:sz w:val="24"/>
          <w:szCs w:val="24"/>
        </w:rPr>
        <w:lastRenderedPageBreak/>
        <w:t>требуют гораздо более точной и индивидуальной квалификации, отражающей графическую и лингвистическую специфику каждой отдельной единицы.</w:t>
      </w:r>
    </w:p>
    <w:p w:rsidR="009C5746" w:rsidRPr="005674DB" w:rsidRDefault="009C5746" w:rsidP="005674DB">
      <w:pPr>
        <w:spacing w:after="0" w:line="240" w:lineRule="auto"/>
        <w:ind w:firstLine="709"/>
        <w:rPr>
          <w:sz w:val="24"/>
          <w:szCs w:val="24"/>
        </w:rPr>
      </w:pPr>
    </w:p>
    <w:p w:rsidR="00940F27" w:rsidRPr="005674DB" w:rsidRDefault="00940F27" w:rsidP="00567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4DB">
        <w:rPr>
          <w:rFonts w:ascii="Times New Roman" w:hAnsi="Times New Roman" w:cs="Times New Roman"/>
          <w:sz w:val="24"/>
          <w:szCs w:val="24"/>
        </w:rPr>
        <w:t xml:space="preserve">Иными словами, описывая факты письменной речи, необходимо чётко различать функции, выполняемые лингвистическими и графическими сущностями, так как их смешение может привести к ложным выводам о явлениях на стыке языка и письма. Так, например, в одной из рассмотренных статей в качестве примера 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графодеривации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 xml:space="preserve"> приводится единица </w:t>
      </w:r>
      <w:proofErr w:type="spellStart"/>
      <w:r w:rsidRPr="005674DB">
        <w:rPr>
          <w:rFonts w:ascii="Times New Roman" w:hAnsi="Times New Roman" w:cs="Times New Roman"/>
          <w:i/>
          <w:iCs/>
          <w:sz w:val="24"/>
          <w:szCs w:val="24"/>
        </w:rPr>
        <w:t>общеЖУТие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Шашкова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Шоболова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 xml:space="preserve">, 2015] – каламбур, совмещающий слова </w:t>
      </w:r>
      <w:r w:rsidRPr="005674DB">
        <w:rPr>
          <w:rFonts w:ascii="Times New Roman" w:hAnsi="Times New Roman" w:cs="Times New Roman"/>
          <w:i/>
          <w:iCs/>
          <w:sz w:val="24"/>
          <w:szCs w:val="24"/>
        </w:rPr>
        <w:t>общежитие</w:t>
      </w:r>
      <w:r w:rsidRPr="005674DB">
        <w:rPr>
          <w:rFonts w:ascii="Times New Roman" w:hAnsi="Times New Roman" w:cs="Times New Roman"/>
          <w:sz w:val="24"/>
          <w:szCs w:val="24"/>
        </w:rPr>
        <w:t xml:space="preserve"> и </w:t>
      </w:r>
      <w:r w:rsidRPr="005674DB">
        <w:rPr>
          <w:rFonts w:ascii="Times New Roman" w:hAnsi="Times New Roman" w:cs="Times New Roman"/>
          <w:i/>
          <w:iCs/>
          <w:sz w:val="24"/>
          <w:szCs w:val="24"/>
        </w:rPr>
        <w:t>жуть</w:t>
      </w:r>
      <w:r w:rsidRPr="005674DB">
        <w:rPr>
          <w:rFonts w:ascii="Times New Roman" w:hAnsi="Times New Roman" w:cs="Times New Roman"/>
          <w:sz w:val="24"/>
          <w:szCs w:val="24"/>
        </w:rPr>
        <w:t xml:space="preserve">. Однако едва ли можно сказать, что данная единица образуется с помощью графических средств: актуализация составляющих каламбур лексем осуществляется на фонетическом уровне, в то время как роль графической составляющей сводится к акцентированию внимания читателя посредством использования прописных букв. </w:t>
      </w:r>
    </w:p>
    <w:p w:rsidR="00940F27" w:rsidRPr="005674DB" w:rsidRDefault="00940F27" w:rsidP="00567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4DB">
        <w:rPr>
          <w:rFonts w:ascii="Times New Roman" w:hAnsi="Times New Roman" w:cs="Times New Roman"/>
          <w:sz w:val="24"/>
          <w:szCs w:val="24"/>
        </w:rPr>
        <w:t xml:space="preserve">В другой статье описывается название магазина нижнего белья </w:t>
      </w:r>
      <w:r w:rsidRPr="005674DB">
        <w:rPr>
          <w:rFonts w:ascii="Times New Roman" w:hAnsi="Times New Roman" w:cs="Times New Roman"/>
          <w:i/>
          <w:iCs/>
          <w:sz w:val="24"/>
          <w:szCs w:val="24"/>
        </w:rPr>
        <w:t>Трусишка</w:t>
      </w:r>
      <w:r w:rsidRPr="005674DB">
        <w:rPr>
          <w:rFonts w:ascii="Times New Roman" w:hAnsi="Times New Roman" w:cs="Times New Roman"/>
          <w:sz w:val="24"/>
          <w:szCs w:val="24"/>
        </w:rPr>
        <w:t>, которое квалифицируется как результат «модификации графики с модификацией значения» [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Тошович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 xml:space="preserve">, 2019, с. 29]. В основе этого каламбура лежит своеобразная подмена словообразующего </w:t>
      </w:r>
      <w:r w:rsidRPr="005674DB">
        <w:rPr>
          <w:rFonts w:ascii="Times New Roman" w:hAnsi="Times New Roman" w:cs="Times New Roman"/>
          <w:i/>
          <w:iCs/>
          <w:sz w:val="24"/>
          <w:szCs w:val="24"/>
        </w:rPr>
        <w:t>трус</w:t>
      </w:r>
      <w:r w:rsidRPr="005674DB">
        <w:rPr>
          <w:rFonts w:ascii="Times New Roman" w:hAnsi="Times New Roman" w:cs="Times New Roman"/>
          <w:sz w:val="24"/>
          <w:szCs w:val="24"/>
        </w:rPr>
        <w:t xml:space="preserve"> на созвучное </w:t>
      </w:r>
      <w:r w:rsidRPr="005674DB">
        <w:rPr>
          <w:rFonts w:ascii="Times New Roman" w:hAnsi="Times New Roman" w:cs="Times New Roman"/>
          <w:i/>
          <w:iCs/>
          <w:sz w:val="24"/>
          <w:szCs w:val="24"/>
        </w:rPr>
        <w:t>трусы</w:t>
      </w:r>
      <w:r w:rsidRPr="005674DB">
        <w:rPr>
          <w:rFonts w:ascii="Times New Roman" w:hAnsi="Times New Roman" w:cs="Times New Roman"/>
          <w:sz w:val="24"/>
          <w:szCs w:val="24"/>
        </w:rPr>
        <w:t>, приводящая к осознанной двусмысленности деривата. В данном случае графика и вовсе не участвует ни в образовании, ни в маркировке окказионального лингвистического средства, а всего лишь фиксирует его графически, реализуя основную функцию письма.</w:t>
      </w:r>
    </w:p>
    <w:p w:rsidR="00940F27" w:rsidRPr="005674DB" w:rsidRDefault="00940F27" w:rsidP="00567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674DB">
        <w:rPr>
          <w:rFonts w:ascii="Times New Roman" w:hAnsi="Times New Roman" w:cs="Times New Roman"/>
          <w:sz w:val="24"/>
          <w:szCs w:val="24"/>
        </w:rPr>
        <w:t xml:space="preserve">Учитывая тот факт, что </w:t>
      </w:r>
      <w:proofErr w:type="spellStart"/>
      <w:r w:rsidRPr="005674DB">
        <w:rPr>
          <w:rFonts w:ascii="Times New Roman" w:hAnsi="Times New Roman" w:cs="Times New Roman"/>
          <w:sz w:val="24"/>
          <w:szCs w:val="24"/>
        </w:rPr>
        <w:t>графодеривация</w:t>
      </w:r>
      <w:proofErr w:type="spellEnd"/>
      <w:r w:rsidRPr="005674DB">
        <w:rPr>
          <w:rFonts w:ascii="Times New Roman" w:hAnsi="Times New Roman" w:cs="Times New Roman"/>
          <w:sz w:val="24"/>
          <w:szCs w:val="24"/>
        </w:rPr>
        <w:t xml:space="preserve"> не всегда подразумевает образование новых лексических единиц, мы считаем более удачной другую точку зрения на данное явление, согласно которой оно «представляет собой сложное вторичное текстовое образование, для которого характерно соединение вербальных и невербальных элементов, образующих структурно-смысловое и визуальное единство, предназначенное для комплексного воздействия на адресата» [Базылев, 2016, с. 29].</w:t>
      </w:r>
    </w:p>
    <w:p w:rsidR="005674DB" w:rsidRPr="005674DB" w:rsidRDefault="005674DB" w:rsidP="00567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74DB" w:rsidRPr="005674DB" w:rsidRDefault="005674DB" w:rsidP="005674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74DB">
        <w:rPr>
          <w:rFonts w:ascii="Times New Roman" w:hAnsi="Times New Roman"/>
          <w:sz w:val="24"/>
          <w:szCs w:val="24"/>
        </w:rPr>
        <w:t xml:space="preserve">Среди исследований, опубликованных в это время, наибольшую актуальность для современной лингвистики, как нам кажется, представляют те их них, которые подчеркивают продуктивность явления </w:t>
      </w:r>
      <w:proofErr w:type="spellStart"/>
      <w:r w:rsidRPr="005674DB">
        <w:rPr>
          <w:rFonts w:ascii="Times New Roman" w:hAnsi="Times New Roman"/>
          <w:sz w:val="24"/>
          <w:szCs w:val="24"/>
        </w:rPr>
        <w:t>эрратографии</w:t>
      </w:r>
      <w:proofErr w:type="spellEnd"/>
      <w:r w:rsidRPr="005674DB">
        <w:rPr>
          <w:rFonts w:ascii="Times New Roman" w:hAnsi="Times New Roman"/>
          <w:sz w:val="24"/>
          <w:szCs w:val="24"/>
        </w:rPr>
        <w:t xml:space="preserve">, обнаруживая в частных языковых средствах и коммуникативных тенденциях свойства, доказывающие неизменную актуальность намеренного несоблюдения орфографии для неофициальной интернет-коммуникации [Карасева, 2008; </w:t>
      </w:r>
      <w:proofErr w:type="spellStart"/>
      <w:r w:rsidRPr="005674DB">
        <w:rPr>
          <w:rFonts w:ascii="Times New Roman" w:hAnsi="Times New Roman"/>
          <w:sz w:val="24"/>
          <w:szCs w:val="24"/>
        </w:rPr>
        <w:t>Гох</w:t>
      </w:r>
      <w:proofErr w:type="spellEnd"/>
      <w:r w:rsidRPr="005674DB">
        <w:rPr>
          <w:rFonts w:ascii="Times New Roman" w:hAnsi="Times New Roman"/>
          <w:sz w:val="24"/>
          <w:szCs w:val="24"/>
        </w:rPr>
        <w:t>, 2011; Сидоров, 2011; Уткин, 2011; Аникина, 2014; Ефремов, 2014].</w:t>
      </w:r>
    </w:p>
    <w:p w:rsidR="005674DB" w:rsidRPr="005674DB" w:rsidRDefault="005674DB" w:rsidP="005674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74DB">
        <w:rPr>
          <w:rFonts w:ascii="Times New Roman" w:hAnsi="Times New Roman"/>
          <w:sz w:val="24"/>
          <w:szCs w:val="24"/>
        </w:rPr>
        <w:t xml:space="preserve">Примером такого исследования можно назвать статью 2014 года «Искажение орфографического облика слова … при русскоязычной коммуникации в </w:t>
      </w:r>
      <w:r w:rsidRPr="005674DB">
        <w:rPr>
          <w:rFonts w:ascii="Times New Roman" w:hAnsi="Times New Roman"/>
          <w:sz w:val="24"/>
          <w:szCs w:val="24"/>
          <w:lang w:val="en-US"/>
        </w:rPr>
        <w:t>Twitter</w:t>
      </w:r>
      <w:r w:rsidRPr="005674DB">
        <w:rPr>
          <w:rFonts w:ascii="Times New Roman" w:hAnsi="Times New Roman"/>
          <w:sz w:val="24"/>
          <w:szCs w:val="24"/>
        </w:rPr>
        <w:t xml:space="preserve">». Проанализировав внушительный объём языкового материала, автор данного исследования приходит к следующему выводу: «Некоторые удачно подобранные </w:t>
      </w:r>
      <w:proofErr w:type="spellStart"/>
      <w:r w:rsidRPr="005674DB">
        <w:rPr>
          <w:rFonts w:ascii="Times New Roman" w:hAnsi="Times New Roman"/>
          <w:sz w:val="24"/>
          <w:szCs w:val="24"/>
        </w:rPr>
        <w:t>эрративы</w:t>
      </w:r>
      <w:proofErr w:type="spellEnd"/>
      <w:r w:rsidRPr="005674DB">
        <w:rPr>
          <w:rFonts w:ascii="Times New Roman" w:hAnsi="Times New Roman"/>
          <w:sz w:val="24"/>
          <w:szCs w:val="24"/>
        </w:rPr>
        <w:t xml:space="preserve"> из субкультуры “</w:t>
      </w:r>
      <w:proofErr w:type="spellStart"/>
      <w:r w:rsidRPr="005674DB">
        <w:rPr>
          <w:rFonts w:ascii="Times New Roman" w:hAnsi="Times New Roman"/>
          <w:sz w:val="24"/>
          <w:szCs w:val="24"/>
        </w:rPr>
        <w:t>падонков</w:t>
      </w:r>
      <w:proofErr w:type="spellEnd"/>
      <w:r w:rsidRPr="005674DB">
        <w:rPr>
          <w:rFonts w:ascii="Times New Roman" w:hAnsi="Times New Roman"/>
          <w:sz w:val="24"/>
          <w:szCs w:val="24"/>
        </w:rPr>
        <w:t>” стали текстовыми клише и популярны до сих пор (</w:t>
      </w:r>
      <w:proofErr w:type="spellStart"/>
      <w:r w:rsidRPr="005674DB">
        <w:rPr>
          <w:rFonts w:ascii="Times New Roman" w:hAnsi="Times New Roman"/>
          <w:i/>
          <w:sz w:val="24"/>
          <w:szCs w:val="24"/>
        </w:rPr>
        <w:t>превед</w:t>
      </w:r>
      <w:proofErr w:type="spellEnd"/>
      <w:r w:rsidRPr="005674D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74DB">
        <w:rPr>
          <w:rFonts w:ascii="Times New Roman" w:hAnsi="Times New Roman"/>
          <w:i/>
          <w:sz w:val="24"/>
          <w:szCs w:val="24"/>
        </w:rPr>
        <w:t>аццкий</w:t>
      </w:r>
      <w:proofErr w:type="spellEnd"/>
      <w:r w:rsidRPr="005674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74DB">
        <w:rPr>
          <w:rFonts w:ascii="Times New Roman" w:hAnsi="Times New Roman"/>
          <w:i/>
          <w:sz w:val="24"/>
          <w:szCs w:val="24"/>
        </w:rPr>
        <w:t>сотона</w:t>
      </w:r>
      <w:proofErr w:type="spellEnd"/>
      <w:r w:rsidRPr="005674DB">
        <w:rPr>
          <w:rFonts w:ascii="Times New Roman" w:hAnsi="Times New Roman"/>
          <w:sz w:val="24"/>
          <w:szCs w:val="24"/>
        </w:rPr>
        <w:t xml:space="preserve">). Но создаются и новые слова, с разной степенью искажения нормы правописания. Например, словоформа </w:t>
      </w:r>
      <w:r w:rsidRPr="005674DB">
        <w:rPr>
          <w:rFonts w:ascii="Times New Roman" w:hAnsi="Times New Roman"/>
          <w:i/>
          <w:sz w:val="24"/>
          <w:szCs w:val="24"/>
        </w:rPr>
        <w:t>норм</w:t>
      </w:r>
      <w:r w:rsidRPr="005674DB">
        <w:rPr>
          <w:rFonts w:ascii="Times New Roman" w:hAnsi="Times New Roman"/>
          <w:sz w:val="24"/>
          <w:szCs w:val="24"/>
        </w:rPr>
        <w:t xml:space="preserve">, занимающая третье место в частотном списке кириллических словоформ, образована усечением, как и формы </w:t>
      </w:r>
      <w:r w:rsidRPr="005674DB">
        <w:rPr>
          <w:rFonts w:ascii="Times New Roman" w:hAnsi="Times New Roman"/>
          <w:i/>
          <w:sz w:val="24"/>
          <w:szCs w:val="24"/>
        </w:rPr>
        <w:t>бля</w:t>
      </w:r>
      <w:r w:rsidRPr="005674DB">
        <w:rPr>
          <w:rFonts w:ascii="Times New Roman" w:hAnsi="Times New Roman"/>
          <w:sz w:val="24"/>
          <w:szCs w:val="24"/>
        </w:rPr>
        <w:t xml:space="preserve"> (724), </w:t>
      </w:r>
      <w:proofErr w:type="spellStart"/>
      <w:r w:rsidRPr="005674DB">
        <w:rPr>
          <w:rFonts w:ascii="Times New Roman" w:hAnsi="Times New Roman"/>
          <w:i/>
          <w:sz w:val="24"/>
          <w:szCs w:val="24"/>
        </w:rPr>
        <w:t>бл</w:t>
      </w:r>
      <w:proofErr w:type="spellEnd"/>
      <w:r w:rsidRPr="005674DB">
        <w:rPr>
          <w:rFonts w:ascii="Times New Roman" w:hAnsi="Times New Roman"/>
          <w:sz w:val="24"/>
          <w:szCs w:val="24"/>
        </w:rPr>
        <w:t xml:space="preserve"> (126), </w:t>
      </w:r>
      <w:proofErr w:type="spellStart"/>
      <w:r w:rsidRPr="005674DB">
        <w:rPr>
          <w:rFonts w:ascii="Times New Roman" w:hAnsi="Times New Roman"/>
          <w:i/>
          <w:sz w:val="24"/>
          <w:szCs w:val="24"/>
        </w:rPr>
        <w:t>тож</w:t>
      </w:r>
      <w:proofErr w:type="spellEnd"/>
      <w:r w:rsidRPr="005674DB">
        <w:rPr>
          <w:rFonts w:ascii="Times New Roman" w:hAnsi="Times New Roman"/>
          <w:sz w:val="24"/>
          <w:szCs w:val="24"/>
        </w:rPr>
        <w:t xml:space="preserve"> (71), </w:t>
      </w:r>
      <w:proofErr w:type="spellStart"/>
      <w:r w:rsidRPr="005674DB">
        <w:rPr>
          <w:rFonts w:ascii="Times New Roman" w:hAnsi="Times New Roman"/>
          <w:i/>
          <w:sz w:val="24"/>
          <w:szCs w:val="24"/>
        </w:rPr>
        <w:t>пох</w:t>
      </w:r>
      <w:proofErr w:type="spellEnd"/>
      <w:r w:rsidRPr="005674DB">
        <w:rPr>
          <w:rFonts w:ascii="Times New Roman" w:hAnsi="Times New Roman"/>
          <w:sz w:val="24"/>
          <w:szCs w:val="24"/>
        </w:rPr>
        <w:t xml:space="preserve"> (66), </w:t>
      </w:r>
      <w:proofErr w:type="spellStart"/>
      <w:r w:rsidRPr="005674DB">
        <w:rPr>
          <w:rFonts w:ascii="Times New Roman" w:hAnsi="Times New Roman"/>
          <w:i/>
          <w:sz w:val="24"/>
          <w:szCs w:val="24"/>
        </w:rPr>
        <w:t>оч</w:t>
      </w:r>
      <w:proofErr w:type="spellEnd"/>
      <w:r w:rsidRPr="005674DB">
        <w:rPr>
          <w:rFonts w:ascii="Times New Roman" w:hAnsi="Times New Roman"/>
          <w:sz w:val="24"/>
          <w:szCs w:val="24"/>
        </w:rPr>
        <w:t xml:space="preserve"> (64), </w:t>
      </w:r>
      <w:proofErr w:type="spellStart"/>
      <w:r w:rsidRPr="005674DB">
        <w:rPr>
          <w:rFonts w:ascii="Times New Roman" w:hAnsi="Times New Roman"/>
          <w:i/>
          <w:sz w:val="24"/>
          <w:szCs w:val="24"/>
        </w:rPr>
        <w:t>кароч</w:t>
      </w:r>
      <w:proofErr w:type="spellEnd"/>
      <w:r w:rsidRPr="005674DB">
        <w:rPr>
          <w:rFonts w:ascii="Times New Roman" w:hAnsi="Times New Roman"/>
          <w:sz w:val="24"/>
          <w:szCs w:val="24"/>
        </w:rPr>
        <w:t xml:space="preserve"> (54), </w:t>
      </w:r>
      <w:r w:rsidRPr="005674DB">
        <w:rPr>
          <w:rFonts w:ascii="Times New Roman" w:hAnsi="Times New Roman"/>
          <w:i/>
          <w:sz w:val="24"/>
          <w:szCs w:val="24"/>
        </w:rPr>
        <w:t>чет</w:t>
      </w:r>
      <w:r w:rsidRPr="005674DB">
        <w:rPr>
          <w:rFonts w:ascii="Times New Roman" w:hAnsi="Times New Roman"/>
          <w:sz w:val="24"/>
          <w:szCs w:val="24"/>
        </w:rPr>
        <w:t xml:space="preserve"> (44), </w:t>
      </w:r>
      <w:r w:rsidRPr="005674DB">
        <w:rPr>
          <w:rFonts w:ascii="Times New Roman" w:hAnsi="Times New Roman"/>
          <w:i/>
          <w:sz w:val="24"/>
          <w:szCs w:val="24"/>
        </w:rPr>
        <w:t>тел</w:t>
      </w:r>
      <w:r w:rsidRPr="005674DB">
        <w:rPr>
          <w:rFonts w:ascii="Times New Roman" w:hAnsi="Times New Roman"/>
          <w:sz w:val="24"/>
          <w:szCs w:val="24"/>
        </w:rPr>
        <w:t xml:space="preserve"> (35). Распространенность этой словоформы не только является еще одним подтверждением действия закона экономии речевых усилий, но и отражает такую тенденцию в компьютерно-опосредованной коммуникации, как использование прецедентных языковых (и неязыковых) единиц» [</w:t>
      </w:r>
      <w:proofErr w:type="spellStart"/>
      <w:r w:rsidRPr="005674DB">
        <w:rPr>
          <w:rFonts w:ascii="Times New Roman" w:hAnsi="Times New Roman"/>
          <w:sz w:val="24"/>
          <w:szCs w:val="24"/>
        </w:rPr>
        <w:t>Карнуп</w:t>
      </w:r>
      <w:proofErr w:type="spellEnd"/>
      <w:r w:rsidRPr="005674DB">
        <w:rPr>
          <w:rFonts w:ascii="Times New Roman" w:hAnsi="Times New Roman"/>
          <w:sz w:val="24"/>
          <w:szCs w:val="24"/>
        </w:rPr>
        <w:t>, 2014, с.</w:t>
      </w:r>
      <w:r w:rsidRPr="005674DB">
        <w:rPr>
          <w:rFonts w:ascii="Times New Roman" w:hAnsi="Times New Roman"/>
          <w:sz w:val="24"/>
          <w:szCs w:val="24"/>
          <w:lang w:val="en-US"/>
        </w:rPr>
        <w:t> </w:t>
      </w:r>
      <w:r w:rsidRPr="005674DB">
        <w:rPr>
          <w:rFonts w:ascii="Times New Roman" w:hAnsi="Times New Roman"/>
          <w:sz w:val="24"/>
          <w:szCs w:val="24"/>
        </w:rPr>
        <w:t>145].</w:t>
      </w:r>
    </w:p>
    <w:p w:rsidR="005674DB" w:rsidRPr="005674DB" w:rsidRDefault="005674DB" w:rsidP="00567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0F27" w:rsidRPr="005674DB" w:rsidRDefault="00940F27" w:rsidP="005674DB">
      <w:pPr>
        <w:spacing w:after="0" w:line="240" w:lineRule="auto"/>
        <w:ind w:firstLine="709"/>
        <w:rPr>
          <w:sz w:val="24"/>
          <w:szCs w:val="24"/>
        </w:rPr>
      </w:pPr>
    </w:p>
    <w:sectPr w:rsidR="00940F27" w:rsidRPr="00567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308"/>
    <w:rsid w:val="0005637C"/>
    <w:rsid w:val="00155308"/>
    <w:rsid w:val="005674DB"/>
    <w:rsid w:val="00940F27"/>
    <w:rsid w:val="009C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91324"/>
  <w15:chartTrackingRefBased/>
  <w15:docId w15:val="{5F0F7B14-AAAC-463A-9604-3506C0B12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F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dc:description/>
  <cp:lastModifiedBy>автор</cp:lastModifiedBy>
  <cp:revision>3</cp:revision>
  <dcterms:created xsi:type="dcterms:W3CDTF">2026-10-09T03:08:00Z</dcterms:created>
  <dcterms:modified xsi:type="dcterms:W3CDTF">2026-10-09T04:04:00Z</dcterms:modified>
</cp:coreProperties>
</file>